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8C50ED">
      <w:pPr>
        <w:tabs>
          <w:tab w:val="left" w:pos="6660"/>
        </w:tabs>
        <w:spacing w:line="360" w:lineRule="auto"/>
        <w:jc w:val="center"/>
        <w:rPr>
          <w:bCs/>
          <w:sz w:val="44"/>
        </w:rPr>
      </w:pPr>
      <w:bookmarkStart w:id="465" w:name="_GoBack"/>
      <w:bookmarkEnd w:id="465"/>
    </w:p>
    <w:p w14:paraId="3A099114">
      <w:pPr>
        <w:jc w:val="left"/>
        <w:rPr>
          <w:b/>
          <w:sz w:val="52"/>
        </w:rPr>
      </w:pPr>
    </w:p>
    <w:p w14:paraId="1C0F8535">
      <w:pPr>
        <w:jc w:val="center"/>
        <w:rPr>
          <w:b/>
          <w:sz w:val="52"/>
        </w:rPr>
      </w:pPr>
    </w:p>
    <w:p w14:paraId="1A760D09">
      <w:pPr>
        <w:jc w:val="center"/>
        <w:rPr>
          <w:b/>
          <w:sz w:val="52"/>
        </w:rPr>
      </w:pPr>
      <w:r>
        <w:rPr>
          <w:rFonts w:hint="eastAsia"/>
          <w:b/>
          <w:sz w:val="52"/>
        </w:rPr>
        <w:t>华商</w:t>
      </w:r>
      <w:r>
        <w:rPr>
          <w:b/>
          <w:sz w:val="52"/>
        </w:rPr>
        <w:t>基金管理有限公司</w:t>
      </w:r>
    </w:p>
    <w:p w14:paraId="3DDED063">
      <w:pPr>
        <w:rPr>
          <w:b/>
        </w:rPr>
      </w:pPr>
    </w:p>
    <w:p w14:paraId="27ED2FB2">
      <w:pPr>
        <w:jc w:val="center"/>
        <w:rPr>
          <w:b/>
          <w:sz w:val="52"/>
        </w:rPr>
      </w:pPr>
    </w:p>
    <w:p w14:paraId="514B8F50">
      <w:pPr>
        <w:jc w:val="center"/>
        <w:rPr>
          <w:b/>
          <w:sz w:val="48"/>
        </w:rPr>
      </w:pPr>
      <w:bookmarkStart w:id="0" w:name="_Toc139992299"/>
      <w:bookmarkStart w:id="1" w:name="_Toc139991724"/>
      <w:bookmarkStart w:id="2" w:name="_Toc123112261"/>
      <w:bookmarkStart w:id="3" w:name="_Toc123701381"/>
      <w:bookmarkStart w:id="4" w:name="_Toc123112222"/>
      <w:r>
        <w:rPr>
          <w:rFonts w:hint="eastAsia"/>
          <w:b/>
          <w:sz w:val="48"/>
        </w:rPr>
        <w:t>华商双翼平衡混合型</w:t>
      </w:r>
      <w:r>
        <w:rPr>
          <w:b/>
          <w:sz w:val="48"/>
        </w:rPr>
        <w:t>证券投资基金</w:t>
      </w:r>
      <w:bookmarkEnd w:id="0"/>
      <w:bookmarkEnd w:id="1"/>
      <w:bookmarkEnd w:id="2"/>
      <w:bookmarkEnd w:id="3"/>
      <w:bookmarkEnd w:id="4"/>
      <w:bookmarkStart w:id="5" w:name="_Toc139992300"/>
      <w:bookmarkStart w:id="6" w:name="_Toc123112262"/>
      <w:bookmarkStart w:id="7" w:name="_Toc123112223"/>
      <w:bookmarkStart w:id="8" w:name="_Toc139991725"/>
      <w:bookmarkStart w:id="9" w:name="_Toc123701382"/>
    </w:p>
    <w:p w14:paraId="5AC5CD1F">
      <w:pPr>
        <w:jc w:val="center"/>
        <w:rPr>
          <w:b/>
          <w:sz w:val="48"/>
        </w:rPr>
      </w:pPr>
      <w:r>
        <w:rPr>
          <w:b/>
          <w:sz w:val="48"/>
        </w:rPr>
        <w:t>基金合同</w:t>
      </w:r>
      <w:bookmarkEnd w:id="5"/>
      <w:bookmarkEnd w:id="6"/>
      <w:bookmarkEnd w:id="7"/>
      <w:bookmarkEnd w:id="8"/>
      <w:bookmarkEnd w:id="9"/>
      <w:r>
        <w:rPr>
          <w:rFonts w:hint="eastAsia"/>
          <w:b/>
          <w:sz w:val="48"/>
        </w:rPr>
        <w:t>（更新）</w:t>
      </w:r>
    </w:p>
    <w:p w14:paraId="715B0F07">
      <w:pPr>
        <w:jc w:val="center"/>
        <w:rPr>
          <w:b/>
          <w:sz w:val="52"/>
        </w:rPr>
      </w:pPr>
    </w:p>
    <w:p w14:paraId="4D5C678B">
      <w:pPr>
        <w:jc w:val="center"/>
        <w:rPr>
          <w:b/>
          <w:sz w:val="52"/>
        </w:rPr>
      </w:pPr>
    </w:p>
    <w:p w14:paraId="6CFD1DD4">
      <w:pPr>
        <w:jc w:val="center"/>
        <w:rPr>
          <w:b/>
          <w:sz w:val="52"/>
        </w:rPr>
      </w:pPr>
    </w:p>
    <w:p w14:paraId="456E4228">
      <w:pPr>
        <w:jc w:val="center"/>
        <w:rPr>
          <w:b/>
          <w:sz w:val="52"/>
        </w:rPr>
      </w:pPr>
    </w:p>
    <w:p w14:paraId="31ECC0FD">
      <w:pPr>
        <w:jc w:val="center"/>
        <w:rPr>
          <w:b/>
          <w:sz w:val="52"/>
        </w:rPr>
      </w:pPr>
    </w:p>
    <w:p w14:paraId="62B4762F">
      <w:pPr>
        <w:rPr>
          <w:b/>
        </w:rPr>
      </w:pPr>
    </w:p>
    <w:p w14:paraId="4026E5D5">
      <w:pPr>
        <w:jc w:val="center"/>
        <w:rPr>
          <w:b/>
          <w:sz w:val="36"/>
        </w:rPr>
      </w:pPr>
      <w:bookmarkStart w:id="10" w:name="_Toc123112224"/>
      <w:bookmarkStart w:id="11" w:name="_Toc123112263"/>
      <w:bookmarkStart w:id="12" w:name="_Toc123701383"/>
      <w:bookmarkStart w:id="13" w:name="_Toc139991726"/>
      <w:bookmarkStart w:id="14" w:name="_Toc139992301"/>
      <w:r>
        <w:rPr>
          <w:b/>
          <w:sz w:val="36"/>
        </w:rPr>
        <w:t>基金管理人：</w:t>
      </w:r>
      <w:bookmarkEnd w:id="10"/>
      <w:bookmarkEnd w:id="11"/>
      <w:bookmarkEnd w:id="12"/>
      <w:bookmarkEnd w:id="13"/>
      <w:bookmarkEnd w:id="14"/>
      <w:r>
        <w:rPr>
          <w:rFonts w:hint="eastAsia"/>
          <w:b/>
          <w:sz w:val="36"/>
        </w:rPr>
        <w:t>华商基金管理有限公司</w:t>
      </w:r>
      <w:r>
        <w:rPr>
          <w:b/>
          <w:sz w:val="36"/>
        </w:rPr>
        <w:t xml:space="preserve">    </w:t>
      </w:r>
    </w:p>
    <w:p w14:paraId="2F4BE06A">
      <w:pPr>
        <w:jc w:val="center"/>
        <w:rPr>
          <w:b/>
          <w:sz w:val="36"/>
        </w:rPr>
      </w:pPr>
      <w:bookmarkStart w:id="15" w:name="_Toc123112225"/>
      <w:bookmarkStart w:id="16" w:name="_Toc123112264"/>
      <w:bookmarkStart w:id="17" w:name="_Toc139991727"/>
      <w:bookmarkStart w:id="18" w:name="_Toc123701384"/>
      <w:bookmarkStart w:id="19" w:name="_Toc139992302"/>
      <w:r>
        <w:rPr>
          <w:b/>
          <w:sz w:val="36"/>
        </w:rPr>
        <w:t>基金托管人：</w:t>
      </w:r>
      <w:r>
        <w:rPr>
          <w:rFonts w:hint="eastAsia"/>
          <w:b/>
          <w:sz w:val="36"/>
        </w:rPr>
        <w:t>中国建设银行股份有限公司</w:t>
      </w:r>
      <w:r>
        <w:rPr>
          <w:b/>
          <w:sz w:val="36"/>
        </w:rPr>
        <w:t xml:space="preserve">          </w:t>
      </w:r>
      <w:bookmarkEnd w:id="15"/>
      <w:bookmarkEnd w:id="16"/>
      <w:bookmarkEnd w:id="17"/>
      <w:bookmarkEnd w:id="18"/>
      <w:bookmarkEnd w:id="19"/>
      <w:r>
        <w:rPr>
          <w:b/>
          <w:sz w:val="36"/>
        </w:rPr>
        <w:t xml:space="preserve"> </w:t>
      </w:r>
    </w:p>
    <w:p w14:paraId="0CED19A7">
      <w:pPr>
        <w:jc w:val="center"/>
        <w:rPr>
          <w:bCs/>
          <w:sz w:val="32"/>
        </w:rPr>
      </w:pPr>
    </w:p>
    <w:p w14:paraId="7EFDD8A8">
      <w:pPr>
        <w:jc w:val="center"/>
        <w:rPr>
          <w:bCs/>
          <w:sz w:val="28"/>
        </w:rPr>
      </w:pPr>
      <w:bookmarkStart w:id="20" w:name="_Toc123112266"/>
      <w:bookmarkStart w:id="21" w:name="_Toc139991729"/>
      <w:bookmarkStart w:id="22" w:name="_Toc123112227"/>
      <w:bookmarkStart w:id="23" w:name="_Toc123701386"/>
    </w:p>
    <w:p w14:paraId="6CBF176B">
      <w:pPr>
        <w:jc w:val="center"/>
        <w:rPr>
          <w:bCs/>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w:t>
      </w:r>
      <w:r>
        <w:rPr>
          <w:rFonts w:hint="eastAsia" w:ascii="宋体"/>
          <w:b/>
          <w:bCs/>
          <w:sz w:val="30"/>
          <w:lang w:val="en-US" w:eastAsia="zh-CN"/>
        </w:rPr>
        <w:t>五</w:t>
      </w:r>
      <w:r>
        <w:rPr>
          <w:rFonts w:hint="eastAsia" w:ascii="宋体"/>
          <w:b/>
          <w:bCs/>
          <w:sz w:val="30"/>
        </w:rPr>
        <w:t>年</w:t>
      </w:r>
      <w:r>
        <w:rPr>
          <w:rFonts w:hint="eastAsia" w:ascii="宋体"/>
          <w:b/>
          <w:bCs/>
          <w:sz w:val="30"/>
          <w:lang w:val="en-US" w:eastAsia="zh-CN"/>
        </w:rPr>
        <w:t>二</w:t>
      </w:r>
      <w:r>
        <w:rPr>
          <w:rFonts w:hint="eastAsia" w:ascii="宋体"/>
          <w:b/>
          <w:bCs/>
          <w:sz w:val="30"/>
        </w:rPr>
        <w:t>月</w:t>
      </w:r>
    </w:p>
    <w:p w14:paraId="67940A1D">
      <w:pPr>
        <w:jc w:val="center"/>
        <w:rPr>
          <w:bCs/>
          <w:sz w:val="28"/>
        </w:rPr>
      </w:pPr>
      <w:r>
        <w:rPr>
          <w:bCs/>
          <w:sz w:val="28"/>
        </w:rPr>
        <w:t>目    录</w:t>
      </w:r>
      <w:bookmarkEnd w:id="20"/>
      <w:bookmarkEnd w:id="21"/>
      <w:bookmarkEnd w:id="22"/>
      <w:bookmarkEnd w:id="23"/>
    </w:p>
    <w:p w14:paraId="3554D905">
      <w:pPr>
        <w:pStyle w:val="15"/>
        <w:tabs>
          <w:tab w:val="right" w:leader="dot" w:pos="8306"/>
          <w:tab w:val="clear" w:pos="829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"_Toc11660" </w:instrText>
      </w:r>
      <w:r>
        <w:fldChar w:fldCharType="separate"/>
      </w:r>
      <w:r>
        <w:rPr>
          <w:kern w:val="0"/>
          <w:sz w:val="24"/>
        </w:rPr>
        <w:t>第一部分  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Pr>
          <w:rFonts w:ascii="宋体"/>
          <w:kern w:val="0"/>
          <w:sz w:val="24"/>
        </w:rPr>
        <w:t>1</w:t>
      </w:r>
      <w:r>
        <w:rPr>
          <w:rFonts w:ascii="宋体"/>
          <w:kern w:val="0"/>
          <w:sz w:val="24"/>
        </w:rPr>
        <w:fldChar w:fldCharType="end"/>
      </w:r>
      <w:r>
        <w:rPr>
          <w:rFonts w:ascii="宋体"/>
          <w:kern w:val="0"/>
          <w:sz w:val="24"/>
        </w:rPr>
        <w:fldChar w:fldCharType="end"/>
      </w:r>
    </w:p>
    <w:p w14:paraId="13167088">
      <w:pPr>
        <w:pStyle w:val="15"/>
        <w:tabs>
          <w:tab w:val="right" w:leader="dot" w:pos="8306"/>
          <w:tab w:val="clear" w:pos="8296"/>
        </w:tabs>
        <w:rPr>
          <w:rFonts w:ascii="宋体"/>
          <w:color w:val="000000"/>
          <w:kern w:val="0"/>
          <w:sz w:val="24"/>
        </w:rPr>
      </w:pPr>
      <w:r>
        <w:fldChar w:fldCharType="begin"/>
      </w:r>
      <w:r>
        <w:instrText xml:space="preserve"> HYPERLINK \l "_Toc31551" </w:instrText>
      </w:r>
      <w:r>
        <w:fldChar w:fldCharType="separate"/>
      </w:r>
      <w:r>
        <w:rPr>
          <w:kern w:val="0"/>
          <w:sz w:val="24"/>
        </w:rPr>
        <w:t xml:space="preserve">第二部分 </w:t>
      </w:r>
      <w:r>
        <w:rPr>
          <w:rFonts w:hint="eastAsia"/>
          <w:kern w:val="0"/>
          <w:sz w:val="24"/>
        </w:rPr>
        <w:t xml:space="preserve"> </w:t>
      </w:r>
      <w:r>
        <w:rPr>
          <w:kern w:val="0"/>
          <w:sz w:val="24"/>
        </w:rPr>
        <w:t>释义</w:t>
      </w:r>
      <w:r>
        <w:rPr>
          <w:rFonts w:ascii="宋体"/>
          <w:kern w:val="0"/>
          <w:sz w:val="24"/>
        </w:rPr>
        <w:tab/>
      </w:r>
      <w:r>
        <w:rPr>
          <w:rFonts w:ascii="宋体"/>
          <w:kern w:val="0"/>
          <w:sz w:val="24"/>
        </w:rPr>
        <w:fldChar w:fldCharType="begin"/>
      </w:r>
      <w:r>
        <w:rPr>
          <w:rFonts w:ascii="宋体"/>
          <w:kern w:val="0"/>
          <w:sz w:val="24"/>
        </w:rPr>
        <w:instrText xml:space="preserve"> PAGEREF _Toc31551 </w:instrText>
      </w:r>
      <w:r>
        <w:rPr>
          <w:rFonts w:ascii="宋体"/>
          <w:kern w:val="0"/>
          <w:sz w:val="24"/>
        </w:rPr>
        <w:fldChar w:fldCharType="separate"/>
      </w:r>
      <w:r>
        <w:rPr>
          <w:rFonts w:ascii="宋体"/>
          <w:kern w:val="0"/>
          <w:sz w:val="24"/>
        </w:rPr>
        <w:t>3</w:t>
      </w:r>
      <w:r>
        <w:rPr>
          <w:rFonts w:ascii="宋体"/>
          <w:kern w:val="0"/>
          <w:sz w:val="24"/>
        </w:rPr>
        <w:fldChar w:fldCharType="end"/>
      </w:r>
      <w:r>
        <w:rPr>
          <w:rFonts w:ascii="宋体"/>
          <w:kern w:val="0"/>
          <w:sz w:val="24"/>
        </w:rPr>
        <w:fldChar w:fldCharType="end"/>
      </w:r>
    </w:p>
    <w:p w14:paraId="5EE7D178">
      <w:pPr>
        <w:pStyle w:val="15"/>
        <w:tabs>
          <w:tab w:val="right" w:leader="dot" w:pos="8306"/>
          <w:tab w:val="clear" w:pos="8296"/>
        </w:tabs>
        <w:rPr>
          <w:rFonts w:ascii="宋体"/>
          <w:color w:val="000000"/>
          <w:kern w:val="0"/>
          <w:sz w:val="24"/>
        </w:rPr>
      </w:pPr>
      <w:r>
        <w:fldChar w:fldCharType="begin"/>
      </w:r>
      <w:r>
        <w:instrText xml:space="preserve"> HYPERLINK \l "_Toc5246" </w:instrText>
      </w:r>
      <w:r>
        <w:fldChar w:fldCharType="separate"/>
      </w:r>
      <w:r>
        <w:rPr>
          <w:kern w:val="0"/>
          <w:sz w:val="24"/>
        </w:rPr>
        <w:t>第三部分  基金的基本</w:t>
      </w:r>
      <w:bookmarkStart w:id="24" w:name="_Hlt377996085"/>
      <w:r>
        <w:rPr>
          <w:kern w:val="0"/>
          <w:sz w:val="24"/>
        </w:rPr>
        <w:t>情</w:t>
      </w:r>
      <w:bookmarkEnd w:id="24"/>
      <w:r>
        <w:rPr>
          <w:kern w:val="0"/>
          <w:sz w:val="24"/>
        </w:rPr>
        <w:t>况</w:t>
      </w:r>
      <w:r>
        <w:rPr>
          <w:rFonts w:ascii="宋体"/>
          <w:kern w:val="0"/>
          <w:sz w:val="24"/>
        </w:rPr>
        <w:tab/>
      </w:r>
      <w:r>
        <w:rPr>
          <w:rFonts w:ascii="宋体"/>
          <w:kern w:val="0"/>
          <w:sz w:val="24"/>
        </w:rPr>
        <w:fldChar w:fldCharType="begin"/>
      </w:r>
      <w:r>
        <w:rPr>
          <w:rFonts w:ascii="宋体"/>
          <w:kern w:val="0"/>
          <w:sz w:val="24"/>
        </w:rPr>
        <w:instrText xml:space="preserve"> PAGEREF _Toc5246 </w:instrText>
      </w:r>
      <w:r>
        <w:rPr>
          <w:rFonts w:ascii="宋体"/>
          <w:kern w:val="0"/>
          <w:sz w:val="24"/>
        </w:rPr>
        <w:fldChar w:fldCharType="separate"/>
      </w:r>
      <w:r>
        <w:rPr>
          <w:rFonts w:ascii="宋体"/>
          <w:kern w:val="0"/>
          <w:sz w:val="24"/>
        </w:rPr>
        <w:t>8</w:t>
      </w:r>
      <w:r>
        <w:rPr>
          <w:rFonts w:ascii="宋体"/>
          <w:kern w:val="0"/>
          <w:sz w:val="24"/>
        </w:rPr>
        <w:fldChar w:fldCharType="end"/>
      </w:r>
      <w:r>
        <w:rPr>
          <w:rFonts w:ascii="宋体"/>
          <w:kern w:val="0"/>
          <w:sz w:val="24"/>
        </w:rPr>
        <w:fldChar w:fldCharType="end"/>
      </w:r>
    </w:p>
    <w:p w14:paraId="7E5BCE0B">
      <w:pPr>
        <w:pStyle w:val="15"/>
        <w:tabs>
          <w:tab w:val="right" w:leader="dot" w:pos="8306"/>
          <w:tab w:val="clear" w:pos="8296"/>
        </w:tabs>
        <w:rPr>
          <w:rFonts w:ascii="宋体"/>
          <w:color w:val="000000"/>
          <w:kern w:val="0"/>
          <w:sz w:val="24"/>
        </w:rPr>
      </w:pPr>
      <w:r>
        <w:fldChar w:fldCharType="begin"/>
      </w:r>
      <w:r>
        <w:instrText xml:space="preserve"> HYPERLINK \l "_Toc24682" </w:instrText>
      </w:r>
      <w:r>
        <w:fldChar w:fldCharType="separate"/>
      </w:r>
      <w:r>
        <w:rPr>
          <w:kern w:val="0"/>
          <w:sz w:val="24"/>
        </w:rPr>
        <w:t>第四部分  基金份额的发售</w:t>
      </w:r>
      <w:r>
        <w:rPr>
          <w:rFonts w:ascii="宋体"/>
          <w:kern w:val="0"/>
          <w:sz w:val="24"/>
        </w:rPr>
        <w:tab/>
      </w:r>
      <w:r>
        <w:rPr>
          <w:rFonts w:ascii="宋体"/>
          <w:kern w:val="0"/>
          <w:sz w:val="24"/>
        </w:rPr>
        <w:fldChar w:fldCharType="begin"/>
      </w:r>
      <w:r>
        <w:rPr>
          <w:rFonts w:ascii="宋体"/>
          <w:kern w:val="0"/>
          <w:sz w:val="24"/>
        </w:rPr>
        <w:instrText xml:space="preserve"> PAGEREF _Toc24682 </w:instrText>
      </w:r>
      <w:r>
        <w:rPr>
          <w:rFonts w:ascii="宋体"/>
          <w:kern w:val="0"/>
          <w:sz w:val="24"/>
        </w:rPr>
        <w:fldChar w:fldCharType="separate"/>
      </w:r>
      <w:r>
        <w:rPr>
          <w:rFonts w:ascii="宋体"/>
          <w:kern w:val="0"/>
          <w:sz w:val="24"/>
        </w:rPr>
        <w:t>10</w:t>
      </w:r>
      <w:r>
        <w:rPr>
          <w:rFonts w:ascii="宋体"/>
          <w:kern w:val="0"/>
          <w:sz w:val="24"/>
        </w:rPr>
        <w:fldChar w:fldCharType="end"/>
      </w:r>
      <w:r>
        <w:rPr>
          <w:rFonts w:ascii="宋体"/>
          <w:kern w:val="0"/>
          <w:sz w:val="24"/>
        </w:rPr>
        <w:fldChar w:fldCharType="end"/>
      </w:r>
    </w:p>
    <w:p w14:paraId="22FC79F4">
      <w:pPr>
        <w:pStyle w:val="15"/>
        <w:tabs>
          <w:tab w:val="right" w:leader="dot" w:pos="8306"/>
          <w:tab w:val="clear" w:pos="8296"/>
        </w:tabs>
        <w:rPr>
          <w:rFonts w:ascii="宋体"/>
          <w:color w:val="000000"/>
          <w:kern w:val="0"/>
          <w:sz w:val="24"/>
        </w:rPr>
      </w:pPr>
      <w:r>
        <w:fldChar w:fldCharType="begin"/>
      </w:r>
      <w:r>
        <w:instrText xml:space="preserve"> HYPERLINK \l "_Toc6559" </w:instrText>
      </w:r>
      <w:r>
        <w:fldChar w:fldCharType="separate"/>
      </w:r>
      <w:r>
        <w:rPr>
          <w:kern w:val="0"/>
          <w:sz w:val="24"/>
        </w:rPr>
        <w:t>第五部分  基金备案</w:t>
      </w:r>
      <w:r>
        <w:rPr>
          <w:rFonts w:ascii="宋体"/>
          <w:kern w:val="0"/>
          <w:sz w:val="24"/>
        </w:rPr>
        <w:tab/>
      </w:r>
      <w:r>
        <w:rPr>
          <w:rFonts w:ascii="宋体"/>
          <w:kern w:val="0"/>
          <w:sz w:val="24"/>
        </w:rPr>
        <w:fldChar w:fldCharType="begin"/>
      </w:r>
      <w:r>
        <w:rPr>
          <w:rFonts w:ascii="宋体"/>
          <w:kern w:val="0"/>
          <w:sz w:val="24"/>
        </w:rPr>
        <w:instrText xml:space="preserve"> PAGEREF _Toc6559 </w:instrText>
      </w:r>
      <w:r>
        <w:rPr>
          <w:rFonts w:ascii="宋体"/>
          <w:kern w:val="0"/>
          <w:sz w:val="24"/>
        </w:rPr>
        <w:fldChar w:fldCharType="separate"/>
      </w:r>
      <w:r>
        <w:rPr>
          <w:rFonts w:ascii="宋体"/>
          <w:kern w:val="0"/>
          <w:sz w:val="24"/>
        </w:rPr>
        <w:t>12</w:t>
      </w:r>
      <w:r>
        <w:rPr>
          <w:rFonts w:ascii="宋体"/>
          <w:kern w:val="0"/>
          <w:sz w:val="24"/>
        </w:rPr>
        <w:fldChar w:fldCharType="end"/>
      </w:r>
      <w:r>
        <w:rPr>
          <w:rFonts w:ascii="宋体"/>
          <w:kern w:val="0"/>
          <w:sz w:val="24"/>
        </w:rPr>
        <w:fldChar w:fldCharType="end"/>
      </w:r>
    </w:p>
    <w:p w14:paraId="4ADF4627">
      <w:pPr>
        <w:pStyle w:val="15"/>
        <w:tabs>
          <w:tab w:val="right" w:leader="dot" w:pos="8306"/>
          <w:tab w:val="clear" w:pos="8296"/>
        </w:tabs>
        <w:rPr>
          <w:rFonts w:ascii="宋体"/>
          <w:color w:val="000000"/>
          <w:kern w:val="0"/>
          <w:sz w:val="24"/>
        </w:rPr>
      </w:pPr>
      <w:r>
        <w:fldChar w:fldCharType="begin"/>
      </w:r>
      <w:r>
        <w:instrText xml:space="preserve"> HYPERLINK \l "_Toc11081" </w:instrText>
      </w:r>
      <w:r>
        <w:fldChar w:fldCharType="separate"/>
      </w:r>
      <w:r>
        <w:rPr>
          <w:kern w:val="0"/>
          <w:sz w:val="24"/>
        </w:rPr>
        <w:t>第六部分  基金份额的申购与</w:t>
      </w:r>
      <w:bookmarkStart w:id="25" w:name="_Hlt377996126"/>
      <w:r>
        <w:rPr>
          <w:kern w:val="0"/>
          <w:sz w:val="24"/>
        </w:rPr>
        <w:t>赎</w:t>
      </w:r>
      <w:bookmarkEnd w:id="25"/>
      <w:r>
        <w:rPr>
          <w:kern w:val="0"/>
          <w:sz w:val="24"/>
        </w:rPr>
        <w:t>回</w:t>
      </w:r>
      <w:r>
        <w:rPr>
          <w:rFonts w:ascii="宋体"/>
          <w:kern w:val="0"/>
          <w:sz w:val="24"/>
        </w:rPr>
        <w:tab/>
      </w:r>
      <w:r>
        <w:rPr>
          <w:rFonts w:ascii="宋体"/>
          <w:kern w:val="0"/>
          <w:sz w:val="24"/>
        </w:rPr>
        <w:fldChar w:fldCharType="begin"/>
      </w:r>
      <w:r>
        <w:rPr>
          <w:rFonts w:ascii="宋体"/>
          <w:kern w:val="0"/>
          <w:sz w:val="24"/>
        </w:rPr>
        <w:instrText xml:space="preserve"> PAGEREF _Toc11081 </w:instrText>
      </w:r>
      <w:r>
        <w:rPr>
          <w:rFonts w:ascii="宋体"/>
          <w:kern w:val="0"/>
          <w:sz w:val="24"/>
        </w:rPr>
        <w:fldChar w:fldCharType="separate"/>
      </w:r>
      <w:r>
        <w:rPr>
          <w:rFonts w:ascii="宋体"/>
          <w:kern w:val="0"/>
          <w:sz w:val="24"/>
        </w:rPr>
        <w:t>13</w:t>
      </w:r>
      <w:r>
        <w:rPr>
          <w:rFonts w:ascii="宋体"/>
          <w:kern w:val="0"/>
          <w:sz w:val="24"/>
        </w:rPr>
        <w:fldChar w:fldCharType="end"/>
      </w:r>
      <w:r>
        <w:rPr>
          <w:rFonts w:ascii="宋体"/>
          <w:kern w:val="0"/>
          <w:sz w:val="24"/>
        </w:rPr>
        <w:fldChar w:fldCharType="end"/>
      </w:r>
    </w:p>
    <w:p w14:paraId="72932F11">
      <w:pPr>
        <w:pStyle w:val="15"/>
        <w:tabs>
          <w:tab w:val="right" w:leader="dot" w:pos="8306"/>
          <w:tab w:val="clear" w:pos="8296"/>
        </w:tabs>
        <w:rPr>
          <w:rFonts w:ascii="宋体"/>
          <w:color w:val="000000"/>
          <w:kern w:val="0"/>
          <w:sz w:val="24"/>
        </w:rPr>
      </w:pPr>
      <w:r>
        <w:fldChar w:fldCharType="begin"/>
      </w:r>
      <w:r>
        <w:instrText xml:space="preserve"> HYPERLINK \l "_Toc16859" </w:instrText>
      </w:r>
      <w:r>
        <w:fldChar w:fldCharType="separate"/>
      </w:r>
      <w:r>
        <w:rPr>
          <w:kern w:val="0"/>
          <w:sz w:val="24"/>
        </w:rPr>
        <w:t>第七部分  基金合同当事人及权利义务</w:t>
      </w:r>
      <w:r>
        <w:rPr>
          <w:rFonts w:ascii="宋体"/>
          <w:kern w:val="0"/>
          <w:sz w:val="24"/>
        </w:rPr>
        <w:tab/>
      </w:r>
      <w:r>
        <w:rPr>
          <w:rFonts w:ascii="宋体"/>
          <w:kern w:val="0"/>
          <w:sz w:val="24"/>
        </w:rPr>
        <w:fldChar w:fldCharType="begin"/>
      </w:r>
      <w:r>
        <w:rPr>
          <w:rFonts w:ascii="宋体"/>
          <w:kern w:val="0"/>
          <w:sz w:val="24"/>
        </w:rPr>
        <w:instrText xml:space="preserve"> PAGEREF _Toc16859 </w:instrText>
      </w:r>
      <w:r>
        <w:rPr>
          <w:rFonts w:ascii="宋体"/>
          <w:kern w:val="0"/>
          <w:sz w:val="24"/>
        </w:rPr>
        <w:fldChar w:fldCharType="separate"/>
      </w:r>
      <w:r>
        <w:rPr>
          <w:rFonts w:ascii="宋体"/>
          <w:kern w:val="0"/>
          <w:sz w:val="24"/>
        </w:rPr>
        <w:t>21</w:t>
      </w:r>
      <w:r>
        <w:rPr>
          <w:rFonts w:ascii="宋体"/>
          <w:kern w:val="0"/>
          <w:sz w:val="24"/>
        </w:rPr>
        <w:fldChar w:fldCharType="end"/>
      </w:r>
      <w:r>
        <w:rPr>
          <w:rFonts w:ascii="宋体"/>
          <w:kern w:val="0"/>
          <w:sz w:val="24"/>
        </w:rPr>
        <w:fldChar w:fldCharType="end"/>
      </w:r>
    </w:p>
    <w:p w14:paraId="13818468">
      <w:pPr>
        <w:pStyle w:val="15"/>
        <w:tabs>
          <w:tab w:val="right" w:leader="dot" w:pos="8306"/>
          <w:tab w:val="clear" w:pos="8296"/>
        </w:tabs>
        <w:rPr>
          <w:rFonts w:ascii="宋体"/>
          <w:color w:val="000000"/>
          <w:kern w:val="0"/>
          <w:sz w:val="24"/>
        </w:rPr>
      </w:pPr>
      <w:r>
        <w:fldChar w:fldCharType="begin"/>
      </w:r>
      <w:r>
        <w:instrText xml:space="preserve"> HYPERLINK \l "_Toc20768" </w:instrText>
      </w:r>
      <w:r>
        <w:fldChar w:fldCharType="separate"/>
      </w:r>
      <w:r>
        <w:rPr>
          <w:kern w:val="0"/>
          <w:sz w:val="24"/>
        </w:rPr>
        <w:t>第八部分  基金份额持有人大会</w:t>
      </w:r>
      <w:r>
        <w:rPr>
          <w:rFonts w:ascii="宋体"/>
          <w:kern w:val="0"/>
          <w:sz w:val="24"/>
        </w:rPr>
        <w:tab/>
      </w:r>
      <w:r>
        <w:rPr>
          <w:rFonts w:ascii="宋体"/>
          <w:kern w:val="0"/>
          <w:sz w:val="24"/>
        </w:rPr>
        <w:fldChar w:fldCharType="begin"/>
      </w:r>
      <w:r>
        <w:rPr>
          <w:rFonts w:ascii="宋体"/>
          <w:kern w:val="0"/>
          <w:sz w:val="24"/>
        </w:rPr>
        <w:instrText xml:space="preserve"> PAGEREF _Toc20768 </w:instrText>
      </w:r>
      <w:r>
        <w:rPr>
          <w:rFonts w:ascii="宋体"/>
          <w:kern w:val="0"/>
          <w:sz w:val="24"/>
        </w:rPr>
        <w:fldChar w:fldCharType="separate"/>
      </w:r>
      <w:r>
        <w:rPr>
          <w:rFonts w:ascii="宋体"/>
          <w:kern w:val="0"/>
          <w:sz w:val="24"/>
        </w:rPr>
        <w:t>28</w:t>
      </w:r>
      <w:r>
        <w:rPr>
          <w:rFonts w:ascii="宋体"/>
          <w:kern w:val="0"/>
          <w:sz w:val="24"/>
        </w:rPr>
        <w:fldChar w:fldCharType="end"/>
      </w:r>
      <w:r>
        <w:rPr>
          <w:rFonts w:ascii="宋体"/>
          <w:kern w:val="0"/>
          <w:sz w:val="24"/>
        </w:rPr>
        <w:fldChar w:fldCharType="end"/>
      </w:r>
    </w:p>
    <w:p w14:paraId="6AC14C8A">
      <w:pPr>
        <w:pStyle w:val="15"/>
        <w:tabs>
          <w:tab w:val="right" w:leader="dot" w:pos="8306"/>
          <w:tab w:val="clear" w:pos="8296"/>
        </w:tabs>
        <w:rPr>
          <w:rFonts w:ascii="宋体"/>
          <w:color w:val="000000"/>
          <w:kern w:val="0"/>
          <w:sz w:val="24"/>
        </w:rPr>
      </w:pPr>
      <w:r>
        <w:fldChar w:fldCharType="begin"/>
      </w:r>
      <w:r>
        <w:instrText xml:space="preserve"> HYPERLINK \l "_Toc18769" </w:instrText>
      </w:r>
      <w:r>
        <w:fldChar w:fldCharType="separate"/>
      </w:r>
      <w:r>
        <w:rPr>
          <w:kern w:val="0"/>
          <w:sz w:val="24"/>
        </w:rPr>
        <w:t>第九部分  基金管理人、基金托管人的更换条件和程序</w:t>
      </w:r>
      <w:r>
        <w:rPr>
          <w:rFonts w:ascii="宋体"/>
          <w:kern w:val="0"/>
          <w:sz w:val="24"/>
        </w:rPr>
        <w:tab/>
      </w:r>
      <w:r>
        <w:rPr>
          <w:rFonts w:ascii="宋体"/>
          <w:kern w:val="0"/>
          <w:sz w:val="24"/>
        </w:rPr>
        <w:fldChar w:fldCharType="begin"/>
      </w:r>
      <w:r>
        <w:rPr>
          <w:rFonts w:ascii="宋体"/>
          <w:kern w:val="0"/>
          <w:sz w:val="24"/>
        </w:rPr>
        <w:instrText xml:space="preserve"> PAGEREF _Toc18769 </w:instrText>
      </w:r>
      <w:r>
        <w:rPr>
          <w:rFonts w:ascii="宋体"/>
          <w:kern w:val="0"/>
          <w:sz w:val="24"/>
        </w:rPr>
        <w:fldChar w:fldCharType="separate"/>
      </w:r>
      <w:r>
        <w:rPr>
          <w:rFonts w:ascii="宋体"/>
          <w:kern w:val="0"/>
          <w:sz w:val="24"/>
        </w:rPr>
        <w:t>37</w:t>
      </w:r>
      <w:r>
        <w:rPr>
          <w:rFonts w:ascii="宋体"/>
          <w:kern w:val="0"/>
          <w:sz w:val="24"/>
        </w:rPr>
        <w:fldChar w:fldCharType="end"/>
      </w:r>
      <w:r>
        <w:rPr>
          <w:rFonts w:ascii="宋体"/>
          <w:kern w:val="0"/>
          <w:sz w:val="24"/>
        </w:rPr>
        <w:fldChar w:fldCharType="end"/>
      </w:r>
    </w:p>
    <w:p w14:paraId="14A24445">
      <w:pPr>
        <w:pStyle w:val="15"/>
        <w:tabs>
          <w:tab w:val="right" w:leader="dot" w:pos="8306"/>
          <w:tab w:val="clear" w:pos="8296"/>
        </w:tabs>
        <w:rPr>
          <w:rFonts w:ascii="宋体"/>
          <w:color w:val="000000"/>
          <w:kern w:val="0"/>
          <w:sz w:val="24"/>
        </w:rPr>
      </w:pPr>
      <w:r>
        <w:fldChar w:fldCharType="begin"/>
      </w:r>
      <w:r>
        <w:instrText xml:space="preserve"> HYPERLINK \l "_Toc20976" </w:instrText>
      </w:r>
      <w:r>
        <w:fldChar w:fldCharType="separate"/>
      </w:r>
      <w:r>
        <w:rPr>
          <w:kern w:val="0"/>
          <w:sz w:val="24"/>
        </w:rPr>
        <w:t>第十部分  基金的托管</w:t>
      </w:r>
      <w:r>
        <w:rPr>
          <w:rFonts w:ascii="宋体"/>
          <w:kern w:val="0"/>
          <w:sz w:val="24"/>
        </w:rPr>
        <w:tab/>
      </w:r>
      <w:r>
        <w:rPr>
          <w:rFonts w:ascii="宋体"/>
          <w:kern w:val="0"/>
          <w:sz w:val="24"/>
        </w:rPr>
        <w:fldChar w:fldCharType="begin"/>
      </w:r>
      <w:r>
        <w:rPr>
          <w:rFonts w:ascii="宋体"/>
          <w:kern w:val="0"/>
          <w:sz w:val="24"/>
        </w:rPr>
        <w:instrText xml:space="preserve"> PAGEREF _Toc20976 </w:instrText>
      </w:r>
      <w:r>
        <w:rPr>
          <w:rFonts w:ascii="宋体"/>
          <w:kern w:val="0"/>
          <w:sz w:val="24"/>
        </w:rPr>
        <w:fldChar w:fldCharType="separate"/>
      </w:r>
      <w:r>
        <w:rPr>
          <w:rFonts w:ascii="宋体"/>
          <w:kern w:val="0"/>
          <w:sz w:val="24"/>
        </w:rPr>
        <w:t>40</w:t>
      </w:r>
      <w:r>
        <w:rPr>
          <w:rFonts w:ascii="宋体"/>
          <w:kern w:val="0"/>
          <w:sz w:val="24"/>
        </w:rPr>
        <w:fldChar w:fldCharType="end"/>
      </w:r>
      <w:r>
        <w:rPr>
          <w:rFonts w:ascii="宋体"/>
          <w:kern w:val="0"/>
          <w:sz w:val="24"/>
        </w:rPr>
        <w:fldChar w:fldCharType="end"/>
      </w:r>
    </w:p>
    <w:p w14:paraId="3021C164">
      <w:pPr>
        <w:pStyle w:val="15"/>
        <w:tabs>
          <w:tab w:val="right" w:leader="dot" w:pos="8306"/>
          <w:tab w:val="clear" w:pos="8296"/>
        </w:tabs>
        <w:rPr>
          <w:rFonts w:ascii="宋体"/>
          <w:color w:val="000000"/>
          <w:kern w:val="0"/>
          <w:sz w:val="24"/>
        </w:rPr>
      </w:pPr>
      <w:r>
        <w:fldChar w:fldCharType="begin"/>
      </w:r>
      <w:r>
        <w:instrText xml:space="preserve"> HYPERLINK \l "_Toc31469" </w:instrText>
      </w:r>
      <w:r>
        <w:fldChar w:fldCharType="separate"/>
      </w:r>
      <w:r>
        <w:rPr>
          <w:kern w:val="0"/>
          <w:sz w:val="24"/>
        </w:rPr>
        <w:t>第十一部分  基金份额的登记</w:t>
      </w:r>
      <w:r>
        <w:rPr>
          <w:rFonts w:ascii="宋体"/>
          <w:kern w:val="0"/>
          <w:sz w:val="24"/>
        </w:rPr>
        <w:tab/>
      </w:r>
      <w:r>
        <w:rPr>
          <w:rFonts w:ascii="宋体"/>
          <w:kern w:val="0"/>
          <w:sz w:val="24"/>
        </w:rPr>
        <w:fldChar w:fldCharType="begin"/>
      </w:r>
      <w:r>
        <w:rPr>
          <w:rFonts w:ascii="宋体"/>
          <w:kern w:val="0"/>
          <w:sz w:val="24"/>
        </w:rPr>
        <w:instrText xml:space="preserve"> PAGEREF _Toc31469 </w:instrText>
      </w:r>
      <w:r>
        <w:rPr>
          <w:rFonts w:ascii="宋体"/>
          <w:kern w:val="0"/>
          <w:sz w:val="24"/>
        </w:rPr>
        <w:fldChar w:fldCharType="separate"/>
      </w:r>
      <w:r>
        <w:rPr>
          <w:rFonts w:ascii="宋体"/>
          <w:kern w:val="0"/>
          <w:sz w:val="24"/>
        </w:rPr>
        <w:t>41</w:t>
      </w:r>
      <w:r>
        <w:rPr>
          <w:rFonts w:ascii="宋体"/>
          <w:kern w:val="0"/>
          <w:sz w:val="24"/>
        </w:rPr>
        <w:fldChar w:fldCharType="end"/>
      </w:r>
      <w:r>
        <w:rPr>
          <w:rFonts w:ascii="宋体"/>
          <w:kern w:val="0"/>
          <w:sz w:val="24"/>
        </w:rPr>
        <w:fldChar w:fldCharType="end"/>
      </w:r>
    </w:p>
    <w:p w14:paraId="1A04E742">
      <w:pPr>
        <w:pStyle w:val="15"/>
        <w:tabs>
          <w:tab w:val="right" w:leader="dot" w:pos="8306"/>
          <w:tab w:val="clear" w:pos="8296"/>
        </w:tabs>
        <w:rPr>
          <w:rFonts w:ascii="宋体"/>
          <w:color w:val="000000"/>
          <w:kern w:val="0"/>
          <w:sz w:val="24"/>
        </w:rPr>
      </w:pPr>
      <w:r>
        <w:fldChar w:fldCharType="begin"/>
      </w:r>
      <w:r>
        <w:instrText xml:space="preserve"> HYPERLINK \l "_Toc13343" </w:instrText>
      </w:r>
      <w:r>
        <w:fldChar w:fldCharType="separate"/>
      </w:r>
      <w:r>
        <w:rPr>
          <w:kern w:val="0"/>
          <w:sz w:val="24"/>
        </w:rPr>
        <w:t>第十二部分  基金的投资</w:t>
      </w:r>
      <w:r>
        <w:rPr>
          <w:rFonts w:ascii="宋体"/>
          <w:kern w:val="0"/>
          <w:sz w:val="24"/>
        </w:rPr>
        <w:tab/>
      </w:r>
      <w:r>
        <w:rPr>
          <w:rFonts w:ascii="宋体"/>
          <w:kern w:val="0"/>
          <w:sz w:val="24"/>
        </w:rPr>
        <w:fldChar w:fldCharType="begin"/>
      </w:r>
      <w:r>
        <w:rPr>
          <w:rFonts w:ascii="宋体"/>
          <w:kern w:val="0"/>
          <w:sz w:val="24"/>
        </w:rPr>
        <w:instrText xml:space="preserve"> PAGEREF _Toc13343 </w:instrText>
      </w:r>
      <w:r>
        <w:rPr>
          <w:rFonts w:ascii="宋体"/>
          <w:kern w:val="0"/>
          <w:sz w:val="24"/>
        </w:rPr>
        <w:fldChar w:fldCharType="separate"/>
      </w:r>
      <w:r>
        <w:rPr>
          <w:rFonts w:ascii="宋体"/>
          <w:kern w:val="0"/>
          <w:sz w:val="24"/>
        </w:rPr>
        <w:t>43</w:t>
      </w:r>
      <w:r>
        <w:rPr>
          <w:rFonts w:ascii="宋体"/>
          <w:kern w:val="0"/>
          <w:sz w:val="24"/>
        </w:rPr>
        <w:fldChar w:fldCharType="end"/>
      </w:r>
      <w:r>
        <w:rPr>
          <w:rFonts w:ascii="宋体"/>
          <w:kern w:val="0"/>
          <w:sz w:val="24"/>
        </w:rPr>
        <w:fldChar w:fldCharType="end"/>
      </w:r>
    </w:p>
    <w:p w14:paraId="49287EDB">
      <w:pPr>
        <w:pStyle w:val="15"/>
        <w:tabs>
          <w:tab w:val="right" w:leader="dot" w:pos="8306"/>
          <w:tab w:val="clear" w:pos="8296"/>
        </w:tabs>
        <w:rPr>
          <w:rFonts w:ascii="宋体"/>
          <w:color w:val="000000"/>
          <w:kern w:val="0"/>
          <w:sz w:val="24"/>
        </w:rPr>
      </w:pPr>
      <w:r>
        <w:fldChar w:fldCharType="begin"/>
      </w:r>
      <w:r>
        <w:instrText xml:space="preserve"> HYPERLINK \l "_Toc13819" </w:instrText>
      </w:r>
      <w:r>
        <w:fldChar w:fldCharType="separate"/>
      </w:r>
      <w:r>
        <w:rPr>
          <w:kern w:val="0"/>
          <w:sz w:val="24"/>
        </w:rPr>
        <w:t>第十三部分  基金的财产</w:t>
      </w:r>
      <w:r>
        <w:rPr>
          <w:rFonts w:ascii="宋体"/>
          <w:kern w:val="0"/>
          <w:sz w:val="24"/>
        </w:rPr>
        <w:tab/>
      </w:r>
      <w:r>
        <w:rPr>
          <w:rFonts w:ascii="宋体"/>
          <w:kern w:val="0"/>
          <w:sz w:val="24"/>
        </w:rPr>
        <w:fldChar w:fldCharType="begin"/>
      </w:r>
      <w:r>
        <w:rPr>
          <w:rFonts w:ascii="宋体"/>
          <w:kern w:val="0"/>
          <w:sz w:val="24"/>
        </w:rPr>
        <w:instrText xml:space="preserve"> PAGEREF _Toc13819 </w:instrText>
      </w:r>
      <w:r>
        <w:rPr>
          <w:rFonts w:ascii="宋体"/>
          <w:kern w:val="0"/>
          <w:sz w:val="24"/>
        </w:rPr>
        <w:fldChar w:fldCharType="separate"/>
      </w:r>
      <w:r>
        <w:rPr>
          <w:rFonts w:ascii="宋体"/>
          <w:kern w:val="0"/>
          <w:sz w:val="24"/>
        </w:rPr>
        <w:t>51</w:t>
      </w:r>
      <w:r>
        <w:rPr>
          <w:rFonts w:ascii="宋体"/>
          <w:kern w:val="0"/>
          <w:sz w:val="24"/>
        </w:rPr>
        <w:fldChar w:fldCharType="end"/>
      </w:r>
      <w:r>
        <w:rPr>
          <w:rFonts w:ascii="宋体"/>
          <w:kern w:val="0"/>
          <w:sz w:val="24"/>
        </w:rPr>
        <w:fldChar w:fldCharType="end"/>
      </w:r>
    </w:p>
    <w:p w14:paraId="31977405">
      <w:pPr>
        <w:pStyle w:val="15"/>
        <w:tabs>
          <w:tab w:val="right" w:leader="dot" w:pos="8306"/>
          <w:tab w:val="clear" w:pos="8296"/>
        </w:tabs>
        <w:rPr>
          <w:rFonts w:ascii="宋体"/>
          <w:color w:val="000000"/>
          <w:kern w:val="0"/>
          <w:sz w:val="24"/>
        </w:rPr>
      </w:pPr>
      <w:r>
        <w:fldChar w:fldCharType="begin"/>
      </w:r>
      <w:r>
        <w:instrText xml:space="preserve"> HYPERLINK \l "_Toc2623" </w:instrText>
      </w:r>
      <w:r>
        <w:fldChar w:fldCharType="separate"/>
      </w:r>
      <w:r>
        <w:rPr>
          <w:kern w:val="0"/>
          <w:sz w:val="24"/>
        </w:rPr>
        <w:t>第十四部分  基金资产估值</w:t>
      </w:r>
      <w:r>
        <w:rPr>
          <w:rFonts w:ascii="宋体"/>
          <w:kern w:val="0"/>
          <w:sz w:val="24"/>
        </w:rPr>
        <w:tab/>
      </w:r>
      <w:bookmarkStart w:id="26" w:name="_Hlt414544657"/>
      <w:bookmarkStart w:id="27" w:name="_Hlt414544656"/>
      <w:r>
        <w:rPr>
          <w:rFonts w:ascii="宋体"/>
          <w:kern w:val="0"/>
          <w:sz w:val="24"/>
        </w:rPr>
        <w:fldChar w:fldCharType="begin"/>
      </w:r>
      <w:r>
        <w:rPr>
          <w:rFonts w:ascii="宋体"/>
          <w:kern w:val="0"/>
          <w:sz w:val="24"/>
        </w:rPr>
        <w:instrText xml:space="preserve"> PAGEREF _Toc2623 </w:instrText>
      </w:r>
      <w:r>
        <w:rPr>
          <w:rFonts w:ascii="宋体"/>
          <w:kern w:val="0"/>
          <w:sz w:val="24"/>
        </w:rPr>
        <w:fldChar w:fldCharType="separate"/>
      </w:r>
      <w:r>
        <w:rPr>
          <w:rFonts w:ascii="宋体"/>
          <w:kern w:val="0"/>
          <w:sz w:val="24"/>
        </w:rPr>
        <w:t>52</w:t>
      </w:r>
      <w:r>
        <w:rPr>
          <w:rFonts w:ascii="宋体"/>
          <w:kern w:val="0"/>
          <w:sz w:val="24"/>
        </w:rPr>
        <w:fldChar w:fldCharType="end"/>
      </w:r>
      <w:bookmarkEnd w:id="26"/>
      <w:bookmarkEnd w:id="27"/>
      <w:r>
        <w:rPr>
          <w:rFonts w:ascii="宋体"/>
          <w:kern w:val="0"/>
          <w:sz w:val="24"/>
        </w:rPr>
        <w:fldChar w:fldCharType="end"/>
      </w:r>
    </w:p>
    <w:p w14:paraId="1A4AC334">
      <w:pPr>
        <w:pStyle w:val="15"/>
        <w:tabs>
          <w:tab w:val="right" w:leader="dot" w:pos="8306"/>
          <w:tab w:val="clear" w:pos="8296"/>
        </w:tabs>
        <w:rPr>
          <w:rFonts w:ascii="宋体"/>
          <w:color w:val="000000"/>
          <w:kern w:val="0"/>
          <w:sz w:val="24"/>
        </w:rPr>
      </w:pPr>
      <w:r>
        <w:fldChar w:fldCharType="begin"/>
      </w:r>
      <w:r>
        <w:instrText xml:space="preserve"> HYPERLINK \l "_Toc6493" </w:instrText>
      </w:r>
      <w:r>
        <w:fldChar w:fldCharType="separate"/>
      </w:r>
      <w:r>
        <w:rPr>
          <w:kern w:val="0"/>
          <w:sz w:val="24"/>
        </w:rPr>
        <w:t>第十五部分  基金费用与税收</w:t>
      </w:r>
      <w:bookmarkStart w:id="28" w:name="_Hlt414017164"/>
      <w:bookmarkEnd w:id="28"/>
      <w:bookmarkStart w:id="29" w:name="_Hlt414017165"/>
      <w:bookmarkEnd w:id="29"/>
      <w:r>
        <w:rPr>
          <w:rFonts w:ascii="宋体"/>
          <w:kern w:val="0"/>
          <w:sz w:val="24"/>
        </w:rPr>
        <w:tab/>
      </w:r>
      <w:r>
        <w:rPr>
          <w:rFonts w:ascii="宋体"/>
          <w:kern w:val="0"/>
          <w:sz w:val="24"/>
        </w:rPr>
        <w:fldChar w:fldCharType="begin"/>
      </w:r>
      <w:r>
        <w:rPr>
          <w:rFonts w:ascii="宋体"/>
          <w:kern w:val="0"/>
          <w:sz w:val="24"/>
        </w:rPr>
        <w:instrText xml:space="preserve"> PAGEREF _Toc6493 </w:instrText>
      </w:r>
      <w:r>
        <w:rPr>
          <w:rFonts w:ascii="宋体"/>
          <w:kern w:val="0"/>
          <w:sz w:val="24"/>
        </w:rPr>
        <w:fldChar w:fldCharType="separate"/>
      </w:r>
      <w:r>
        <w:rPr>
          <w:rFonts w:ascii="宋体"/>
          <w:kern w:val="0"/>
          <w:sz w:val="24"/>
        </w:rPr>
        <w:t>56</w:t>
      </w:r>
      <w:r>
        <w:rPr>
          <w:rFonts w:ascii="宋体"/>
          <w:kern w:val="0"/>
          <w:sz w:val="24"/>
        </w:rPr>
        <w:fldChar w:fldCharType="end"/>
      </w:r>
      <w:r>
        <w:rPr>
          <w:rFonts w:ascii="宋体"/>
          <w:kern w:val="0"/>
          <w:sz w:val="24"/>
        </w:rPr>
        <w:fldChar w:fldCharType="end"/>
      </w:r>
    </w:p>
    <w:p w14:paraId="412F5E22">
      <w:pPr>
        <w:pStyle w:val="15"/>
        <w:tabs>
          <w:tab w:val="right" w:leader="dot" w:pos="8306"/>
          <w:tab w:val="clear" w:pos="8296"/>
        </w:tabs>
        <w:rPr>
          <w:rFonts w:ascii="宋体"/>
          <w:color w:val="000000"/>
          <w:kern w:val="0"/>
          <w:sz w:val="24"/>
        </w:rPr>
      </w:pPr>
      <w:r>
        <w:fldChar w:fldCharType="begin"/>
      </w:r>
      <w:r>
        <w:instrText xml:space="preserve"> HYPERLINK \l "_Toc15351" </w:instrText>
      </w:r>
      <w:r>
        <w:fldChar w:fldCharType="separate"/>
      </w:r>
      <w:r>
        <w:rPr>
          <w:kern w:val="0"/>
          <w:sz w:val="24"/>
        </w:rPr>
        <w:t>第十六部分  基金的收益与分配</w:t>
      </w:r>
      <w:r>
        <w:rPr>
          <w:rFonts w:ascii="宋体"/>
          <w:kern w:val="0"/>
          <w:sz w:val="24"/>
        </w:rPr>
        <w:tab/>
      </w:r>
      <w:r>
        <w:rPr>
          <w:rFonts w:ascii="宋体"/>
          <w:kern w:val="0"/>
          <w:sz w:val="24"/>
        </w:rPr>
        <w:fldChar w:fldCharType="begin"/>
      </w:r>
      <w:r>
        <w:rPr>
          <w:rFonts w:ascii="宋体"/>
          <w:kern w:val="0"/>
          <w:sz w:val="24"/>
        </w:rPr>
        <w:instrText xml:space="preserve"> PAGEREF _Toc15351 </w:instrText>
      </w:r>
      <w:r>
        <w:rPr>
          <w:rFonts w:ascii="宋体"/>
          <w:kern w:val="0"/>
          <w:sz w:val="24"/>
        </w:rPr>
        <w:fldChar w:fldCharType="separate"/>
      </w:r>
      <w:r>
        <w:rPr>
          <w:rFonts w:ascii="宋体"/>
          <w:kern w:val="0"/>
          <w:sz w:val="24"/>
        </w:rPr>
        <w:t>59</w:t>
      </w:r>
      <w:r>
        <w:rPr>
          <w:rFonts w:ascii="宋体"/>
          <w:kern w:val="0"/>
          <w:sz w:val="24"/>
        </w:rPr>
        <w:fldChar w:fldCharType="end"/>
      </w:r>
      <w:r>
        <w:rPr>
          <w:rFonts w:ascii="宋体"/>
          <w:kern w:val="0"/>
          <w:sz w:val="24"/>
        </w:rPr>
        <w:fldChar w:fldCharType="end"/>
      </w:r>
    </w:p>
    <w:p w14:paraId="513B19B0">
      <w:pPr>
        <w:pStyle w:val="15"/>
        <w:tabs>
          <w:tab w:val="right" w:leader="dot" w:pos="8306"/>
          <w:tab w:val="clear" w:pos="8296"/>
        </w:tabs>
        <w:rPr>
          <w:rFonts w:ascii="宋体"/>
          <w:color w:val="000000"/>
          <w:kern w:val="0"/>
          <w:sz w:val="24"/>
        </w:rPr>
      </w:pPr>
      <w:r>
        <w:fldChar w:fldCharType="begin"/>
      </w:r>
      <w:r>
        <w:instrText xml:space="preserve"> HYPERLINK \l "_Toc18747" </w:instrText>
      </w:r>
      <w:r>
        <w:fldChar w:fldCharType="separate"/>
      </w:r>
      <w:r>
        <w:rPr>
          <w:kern w:val="0"/>
          <w:sz w:val="24"/>
        </w:rPr>
        <w:t>第十七部分  基金的会计与审计</w:t>
      </w:r>
      <w:r>
        <w:rPr>
          <w:rFonts w:ascii="宋体"/>
          <w:kern w:val="0"/>
          <w:sz w:val="24"/>
        </w:rPr>
        <w:tab/>
      </w:r>
      <w:r>
        <w:rPr>
          <w:rFonts w:ascii="宋体"/>
          <w:kern w:val="0"/>
          <w:sz w:val="24"/>
        </w:rPr>
        <w:fldChar w:fldCharType="begin"/>
      </w:r>
      <w:r>
        <w:rPr>
          <w:rFonts w:ascii="宋体"/>
          <w:kern w:val="0"/>
          <w:sz w:val="24"/>
        </w:rPr>
        <w:instrText xml:space="preserve"> PAGEREF _Toc18747 </w:instrText>
      </w:r>
      <w:r>
        <w:rPr>
          <w:rFonts w:ascii="宋体"/>
          <w:kern w:val="0"/>
          <w:sz w:val="24"/>
        </w:rPr>
        <w:fldChar w:fldCharType="separate"/>
      </w:r>
      <w:r>
        <w:rPr>
          <w:rFonts w:ascii="宋体"/>
          <w:kern w:val="0"/>
          <w:sz w:val="24"/>
        </w:rPr>
        <w:t>61</w:t>
      </w:r>
      <w:r>
        <w:rPr>
          <w:rFonts w:ascii="宋体"/>
          <w:kern w:val="0"/>
          <w:sz w:val="24"/>
        </w:rPr>
        <w:fldChar w:fldCharType="end"/>
      </w:r>
      <w:r>
        <w:rPr>
          <w:rFonts w:ascii="宋体"/>
          <w:kern w:val="0"/>
          <w:sz w:val="24"/>
        </w:rPr>
        <w:fldChar w:fldCharType="end"/>
      </w:r>
    </w:p>
    <w:p w14:paraId="63555EE2">
      <w:pPr>
        <w:pStyle w:val="15"/>
        <w:tabs>
          <w:tab w:val="right" w:leader="dot" w:pos="8306"/>
          <w:tab w:val="clear" w:pos="8296"/>
        </w:tabs>
        <w:rPr>
          <w:rFonts w:ascii="宋体"/>
          <w:color w:val="000000"/>
          <w:kern w:val="0"/>
          <w:sz w:val="24"/>
        </w:rPr>
      </w:pPr>
      <w:r>
        <w:fldChar w:fldCharType="begin"/>
      </w:r>
      <w:r>
        <w:instrText xml:space="preserve"> HYPERLINK \l "_Toc21351" </w:instrText>
      </w:r>
      <w:r>
        <w:fldChar w:fldCharType="separate"/>
      </w:r>
      <w:r>
        <w:rPr>
          <w:kern w:val="0"/>
          <w:sz w:val="24"/>
        </w:rPr>
        <w:t>第十八部分  基金的信息披露</w:t>
      </w:r>
      <w:r>
        <w:rPr>
          <w:rFonts w:ascii="宋体"/>
          <w:kern w:val="0"/>
          <w:sz w:val="24"/>
        </w:rPr>
        <w:tab/>
      </w:r>
      <w:r>
        <w:rPr>
          <w:rFonts w:ascii="宋体"/>
          <w:kern w:val="0"/>
          <w:sz w:val="24"/>
        </w:rPr>
        <w:fldChar w:fldCharType="begin"/>
      </w:r>
      <w:r>
        <w:rPr>
          <w:rFonts w:ascii="宋体"/>
          <w:kern w:val="0"/>
          <w:sz w:val="24"/>
        </w:rPr>
        <w:instrText xml:space="preserve"> PAGEREF _Toc21351 </w:instrText>
      </w:r>
      <w:r>
        <w:rPr>
          <w:rFonts w:ascii="宋体"/>
          <w:kern w:val="0"/>
          <w:sz w:val="24"/>
        </w:rPr>
        <w:fldChar w:fldCharType="separate"/>
      </w:r>
      <w:r>
        <w:rPr>
          <w:rFonts w:ascii="宋体"/>
          <w:kern w:val="0"/>
          <w:sz w:val="24"/>
        </w:rPr>
        <w:t>62</w:t>
      </w:r>
      <w:r>
        <w:rPr>
          <w:rFonts w:ascii="宋体"/>
          <w:kern w:val="0"/>
          <w:sz w:val="24"/>
        </w:rPr>
        <w:fldChar w:fldCharType="end"/>
      </w:r>
      <w:r>
        <w:rPr>
          <w:rFonts w:ascii="宋体"/>
          <w:kern w:val="0"/>
          <w:sz w:val="24"/>
        </w:rPr>
        <w:fldChar w:fldCharType="end"/>
      </w:r>
    </w:p>
    <w:p w14:paraId="5D25FE29">
      <w:pPr>
        <w:pStyle w:val="15"/>
        <w:tabs>
          <w:tab w:val="right" w:leader="dot" w:pos="8306"/>
          <w:tab w:val="clear" w:pos="8296"/>
        </w:tabs>
        <w:rPr>
          <w:rFonts w:ascii="宋体"/>
          <w:color w:val="000000"/>
          <w:kern w:val="0"/>
          <w:sz w:val="24"/>
        </w:rPr>
      </w:pPr>
      <w:r>
        <w:fldChar w:fldCharType="begin"/>
      </w:r>
      <w:r>
        <w:instrText xml:space="preserve"> HYPERLINK \l "_Toc11113" </w:instrText>
      </w:r>
      <w:r>
        <w:fldChar w:fldCharType="separate"/>
      </w:r>
      <w:r>
        <w:rPr>
          <w:kern w:val="0"/>
          <w:sz w:val="24"/>
        </w:rPr>
        <w:t>第十九部分  基金合同的变更、终止与基金财产的清算</w:t>
      </w:r>
      <w:r>
        <w:rPr>
          <w:rFonts w:ascii="宋体"/>
          <w:kern w:val="0"/>
          <w:sz w:val="24"/>
        </w:rPr>
        <w:tab/>
      </w:r>
      <w:r>
        <w:rPr>
          <w:rFonts w:ascii="宋体"/>
          <w:kern w:val="0"/>
          <w:sz w:val="24"/>
        </w:rPr>
        <w:fldChar w:fldCharType="begin"/>
      </w:r>
      <w:r>
        <w:rPr>
          <w:rFonts w:ascii="宋体"/>
          <w:kern w:val="0"/>
          <w:sz w:val="24"/>
        </w:rPr>
        <w:instrText xml:space="preserve"> PAGEREF _Toc11113 </w:instrText>
      </w:r>
      <w:r>
        <w:rPr>
          <w:rFonts w:ascii="宋体"/>
          <w:kern w:val="0"/>
          <w:sz w:val="24"/>
        </w:rPr>
        <w:fldChar w:fldCharType="separate"/>
      </w:r>
      <w:r>
        <w:rPr>
          <w:rFonts w:ascii="宋体"/>
          <w:kern w:val="0"/>
          <w:sz w:val="24"/>
        </w:rPr>
        <w:t>69</w:t>
      </w:r>
      <w:r>
        <w:rPr>
          <w:rFonts w:ascii="宋体"/>
          <w:kern w:val="0"/>
          <w:sz w:val="24"/>
        </w:rPr>
        <w:fldChar w:fldCharType="end"/>
      </w:r>
      <w:r>
        <w:rPr>
          <w:rFonts w:ascii="宋体"/>
          <w:kern w:val="0"/>
          <w:sz w:val="24"/>
        </w:rPr>
        <w:fldChar w:fldCharType="end"/>
      </w:r>
    </w:p>
    <w:p w14:paraId="1594409E">
      <w:pPr>
        <w:pStyle w:val="15"/>
        <w:tabs>
          <w:tab w:val="right" w:leader="dot" w:pos="8306"/>
          <w:tab w:val="clear" w:pos="8296"/>
        </w:tabs>
        <w:rPr>
          <w:rFonts w:ascii="宋体"/>
          <w:color w:val="000000"/>
          <w:kern w:val="0"/>
          <w:sz w:val="24"/>
        </w:rPr>
      </w:pPr>
      <w:r>
        <w:fldChar w:fldCharType="begin"/>
      </w:r>
      <w:r>
        <w:instrText xml:space="preserve"> HYPERLINK \l "_Toc23166" </w:instrText>
      </w:r>
      <w:r>
        <w:fldChar w:fldCharType="separate"/>
      </w:r>
      <w:r>
        <w:rPr>
          <w:kern w:val="0"/>
          <w:sz w:val="24"/>
        </w:rPr>
        <w:t>第二十部分  违约责任</w:t>
      </w:r>
      <w:r>
        <w:rPr>
          <w:rFonts w:ascii="宋体"/>
          <w:kern w:val="0"/>
          <w:sz w:val="24"/>
        </w:rPr>
        <w:tab/>
      </w:r>
      <w:r>
        <w:rPr>
          <w:rFonts w:ascii="宋体"/>
          <w:kern w:val="0"/>
          <w:sz w:val="24"/>
        </w:rPr>
        <w:fldChar w:fldCharType="begin"/>
      </w:r>
      <w:r>
        <w:rPr>
          <w:rFonts w:ascii="宋体"/>
          <w:kern w:val="0"/>
          <w:sz w:val="24"/>
        </w:rPr>
        <w:instrText xml:space="preserve"> PAGEREF _Toc23166 </w:instrText>
      </w:r>
      <w:r>
        <w:rPr>
          <w:rFonts w:ascii="宋体"/>
          <w:kern w:val="0"/>
          <w:sz w:val="24"/>
        </w:rPr>
        <w:fldChar w:fldCharType="separate"/>
      </w:r>
      <w:r>
        <w:rPr>
          <w:rFonts w:ascii="宋体"/>
          <w:kern w:val="0"/>
          <w:sz w:val="24"/>
        </w:rPr>
        <w:t>71</w:t>
      </w:r>
      <w:r>
        <w:rPr>
          <w:rFonts w:ascii="宋体"/>
          <w:kern w:val="0"/>
          <w:sz w:val="24"/>
        </w:rPr>
        <w:fldChar w:fldCharType="end"/>
      </w:r>
      <w:r>
        <w:rPr>
          <w:rFonts w:ascii="宋体"/>
          <w:kern w:val="0"/>
          <w:sz w:val="24"/>
        </w:rPr>
        <w:fldChar w:fldCharType="end"/>
      </w:r>
    </w:p>
    <w:p w14:paraId="737F9914">
      <w:pPr>
        <w:pStyle w:val="15"/>
        <w:tabs>
          <w:tab w:val="right" w:leader="dot" w:pos="8306"/>
          <w:tab w:val="clear" w:pos="8296"/>
        </w:tabs>
        <w:rPr>
          <w:rFonts w:ascii="宋体"/>
          <w:color w:val="000000"/>
          <w:kern w:val="0"/>
          <w:sz w:val="24"/>
        </w:rPr>
      </w:pPr>
      <w:r>
        <w:fldChar w:fldCharType="begin"/>
      </w:r>
      <w:r>
        <w:instrText xml:space="preserve"> HYPERLINK \l "_Toc6110" </w:instrText>
      </w:r>
      <w:r>
        <w:fldChar w:fldCharType="separate"/>
      </w:r>
      <w:r>
        <w:rPr>
          <w:kern w:val="0"/>
          <w:sz w:val="24"/>
        </w:rPr>
        <w:t>第二十一部分  争议的处理和适用的法律</w:t>
      </w:r>
      <w:r>
        <w:rPr>
          <w:rFonts w:ascii="宋体"/>
          <w:kern w:val="0"/>
          <w:sz w:val="24"/>
        </w:rPr>
        <w:tab/>
      </w:r>
      <w:r>
        <w:rPr>
          <w:rFonts w:ascii="宋体"/>
          <w:kern w:val="0"/>
          <w:sz w:val="24"/>
        </w:rPr>
        <w:fldChar w:fldCharType="begin"/>
      </w:r>
      <w:r>
        <w:rPr>
          <w:rFonts w:ascii="宋体"/>
          <w:kern w:val="0"/>
          <w:sz w:val="24"/>
        </w:rPr>
        <w:instrText xml:space="preserve"> PAGEREF _Toc6110 </w:instrText>
      </w:r>
      <w:r>
        <w:rPr>
          <w:rFonts w:ascii="宋体"/>
          <w:kern w:val="0"/>
          <w:sz w:val="24"/>
        </w:rPr>
        <w:fldChar w:fldCharType="separate"/>
      </w:r>
      <w:r>
        <w:rPr>
          <w:rFonts w:ascii="宋体"/>
          <w:kern w:val="0"/>
          <w:sz w:val="24"/>
        </w:rPr>
        <w:t>72</w:t>
      </w:r>
      <w:r>
        <w:rPr>
          <w:rFonts w:ascii="宋体"/>
          <w:kern w:val="0"/>
          <w:sz w:val="24"/>
        </w:rPr>
        <w:fldChar w:fldCharType="end"/>
      </w:r>
      <w:r>
        <w:rPr>
          <w:rFonts w:ascii="宋体"/>
          <w:kern w:val="0"/>
          <w:sz w:val="24"/>
        </w:rPr>
        <w:fldChar w:fldCharType="end"/>
      </w:r>
    </w:p>
    <w:p w14:paraId="01209080">
      <w:pPr>
        <w:pStyle w:val="15"/>
        <w:tabs>
          <w:tab w:val="right" w:leader="dot" w:pos="8306"/>
          <w:tab w:val="clear" w:pos="8296"/>
        </w:tabs>
        <w:rPr>
          <w:rFonts w:ascii="宋体"/>
          <w:color w:val="000000"/>
          <w:kern w:val="0"/>
          <w:sz w:val="24"/>
        </w:rPr>
      </w:pPr>
      <w:r>
        <w:fldChar w:fldCharType="begin"/>
      </w:r>
      <w:r>
        <w:instrText xml:space="preserve"> HYPERLINK \l "_Toc28690" </w:instrText>
      </w:r>
      <w:r>
        <w:fldChar w:fldCharType="separate"/>
      </w:r>
      <w:r>
        <w:rPr>
          <w:kern w:val="0"/>
          <w:sz w:val="24"/>
        </w:rPr>
        <w:t>第二十二部分  基金合同的效力</w:t>
      </w:r>
      <w:r>
        <w:rPr>
          <w:rFonts w:ascii="宋体"/>
          <w:kern w:val="0"/>
          <w:sz w:val="24"/>
        </w:rPr>
        <w:tab/>
      </w:r>
      <w:r>
        <w:rPr>
          <w:rFonts w:ascii="宋体"/>
          <w:kern w:val="0"/>
          <w:sz w:val="24"/>
        </w:rPr>
        <w:fldChar w:fldCharType="begin"/>
      </w:r>
      <w:r>
        <w:rPr>
          <w:rFonts w:ascii="宋体"/>
          <w:kern w:val="0"/>
          <w:sz w:val="24"/>
        </w:rPr>
        <w:instrText xml:space="preserve"> PAGEREF _Toc28690 </w:instrText>
      </w:r>
      <w:r>
        <w:rPr>
          <w:rFonts w:ascii="宋体"/>
          <w:kern w:val="0"/>
          <w:sz w:val="24"/>
        </w:rPr>
        <w:fldChar w:fldCharType="separate"/>
      </w:r>
      <w:r>
        <w:rPr>
          <w:rFonts w:ascii="宋体"/>
          <w:kern w:val="0"/>
          <w:sz w:val="24"/>
        </w:rPr>
        <w:t>72</w:t>
      </w:r>
      <w:r>
        <w:rPr>
          <w:rFonts w:ascii="宋体"/>
          <w:kern w:val="0"/>
          <w:sz w:val="24"/>
        </w:rPr>
        <w:fldChar w:fldCharType="end"/>
      </w:r>
      <w:r>
        <w:rPr>
          <w:rFonts w:ascii="宋体"/>
          <w:kern w:val="0"/>
          <w:sz w:val="24"/>
        </w:rPr>
        <w:fldChar w:fldCharType="end"/>
      </w:r>
    </w:p>
    <w:p w14:paraId="59543845">
      <w:pPr>
        <w:pStyle w:val="15"/>
        <w:tabs>
          <w:tab w:val="right" w:leader="dot" w:pos="8306"/>
          <w:tab w:val="clear" w:pos="8296"/>
        </w:tabs>
        <w:rPr>
          <w:rFonts w:ascii="宋体"/>
          <w:color w:val="000000"/>
          <w:kern w:val="0"/>
          <w:sz w:val="24"/>
        </w:rPr>
      </w:pPr>
      <w:r>
        <w:fldChar w:fldCharType="begin"/>
      </w:r>
      <w:r>
        <w:instrText xml:space="preserve"> HYPERLINK \l "_Toc9704" </w:instrText>
      </w:r>
      <w:r>
        <w:fldChar w:fldCharType="separate"/>
      </w:r>
      <w:r>
        <w:rPr>
          <w:rFonts w:hint="eastAsia"/>
          <w:kern w:val="0"/>
          <w:sz w:val="24"/>
        </w:rPr>
        <w:t>第二十三部分  其他事项</w:t>
      </w:r>
      <w:r>
        <w:rPr>
          <w:rFonts w:ascii="宋体"/>
          <w:kern w:val="0"/>
          <w:sz w:val="24"/>
        </w:rPr>
        <w:tab/>
      </w:r>
      <w:r>
        <w:rPr>
          <w:rFonts w:ascii="宋体"/>
          <w:kern w:val="0"/>
          <w:sz w:val="24"/>
        </w:rPr>
        <w:fldChar w:fldCharType="begin"/>
      </w:r>
      <w:r>
        <w:rPr>
          <w:rFonts w:ascii="宋体"/>
          <w:kern w:val="0"/>
          <w:sz w:val="24"/>
        </w:rPr>
        <w:instrText xml:space="preserve"> PAGEREF _Toc9704 </w:instrText>
      </w:r>
      <w:r>
        <w:rPr>
          <w:rFonts w:ascii="宋体"/>
          <w:kern w:val="0"/>
          <w:sz w:val="24"/>
        </w:rPr>
        <w:fldChar w:fldCharType="separate"/>
      </w:r>
      <w:r>
        <w:rPr>
          <w:rFonts w:ascii="宋体"/>
          <w:kern w:val="0"/>
          <w:sz w:val="24"/>
        </w:rPr>
        <w:t>73</w:t>
      </w:r>
      <w:r>
        <w:rPr>
          <w:rFonts w:ascii="宋体"/>
          <w:kern w:val="0"/>
          <w:sz w:val="24"/>
        </w:rPr>
        <w:fldChar w:fldCharType="end"/>
      </w:r>
      <w:r>
        <w:rPr>
          <w:rFonts w:ascii="宋体"/>
          <w:kern w:val="0"/>
          <w:sz w:val="24"/>
        </w:rPr>
        <w:fldChar w:fldCharType="end"/>
      </w:r>
    </w:p>
    <w:p w14:paraId="0EFF8AA2">
      <w:pPr>
        <w:pStyle w:val="15"/>
        <w:tabs>
          <w:tab w:val="right" w:leader="dot" w:pos="8306"/>
          <w:tab w:val="clear" w:pos="8296"/>
        </w:tabs>
        <w:rPr>
          <w:rFonts w:ascii="宋体"/>
          <w:color w:val="000000"/>
          <w:kern w:val="0"/>
          <w:sz w:val="24"/>
        </w:rPr>
      </w:pPr>
      <w:r>
        <w:fldChar w:fldCharType="begin"/>
      </w:r>
      <w:r>
        <w:instrText xml:space="preserve"> HYPERLINK \l "_Toc15045" </w:instrText>
      </w:r>
      <w:r>
        <w:fldChar w:fldCharType="separate"/>
      </w:r>
      <w:r>
        <w:rPr>
          <w:kern w:val="0"/>
          <w:sz w:val="24"/>
        </w:rPr>
        <w:t>第二十四部分  基金合同内容摘要</w:t>
      </w:r>
      <w:r>
        <w:rPr>
          <w:rFonts w:ascii="宋体"/>
          <w:kern w:val="0"/>
          <w:sz w:val="24"/>
        </w:rPr>
        <w:tab/>
      </w:r>
      <w:r>
        <w:rPr>
          <w:rFonts w:ascii="宋体"/>
          <w:kern w:val="0"/>
          <w:sz w:val="24"/>
        </w:rPr>
        <w:fldChar w:fldCharType="begin"/>
      </w:r>
      <w:r>
        <w:rPr>
          <w:rFonts w:ascii="宋体"/>
          <w:kern w:val="0"/>
          <w:sz w:val="24"/>
        </w:rPr>
        <w:instrText xml:space="preserve"> PAGEREF _Toc15045 </w:instrText>
      </w:r>
      <w:r>
        <w:rPr>
          <w:rFonts w:ascii="宋体"/>
          <w:kern w:val="0"/>
          <w:sz w:val="24"/>
        </w:rPr>
        <w:fldChar w:fldCharType="separate"/>
      </w:r>
      <w:r>
        <w:rPr>
          <w:rFonts w:ascii="宋体"/>
          <w:kern w:val="0"/>
          <w:sz w:val="24"/>
        </w:rPr>
        <w:t>73</w:t>
      </w:r>
      <w:r>
        <w:rPr>
          <w:rFonts w:ascii="宋体"/>
          <w:kern w:val="0"/>
          <w:sz w:val="24"/>
        </w:rPr>
        <w:fldChar w:fldCharType="end"/>
      </w:r>
      <w:r>
        <w:rPr>
          <w:rFonts w:ascii="宋体"/>
          <w:kern w:val="0"/>
          <w:sz w:val="24"/>
        </w:rPr>
        <w:fldChar w:fldCharType="end"/>
      </w:r>
    </w:p>
    <w:p w14:paraId="3CD0C34C">
      <w:pPr>
        <w:pStyle w:val="2"/>
        <w:spacing w:before="0" w:after="0"/>
        <w:jc w:val="left"/>
        <w:rPr>
          <w:rFonts w:ascii="Times New Roman"/>
          <w:b w:val="0"/>
          <w:bCs/>
          <w:color w:val="auto"/>
          <w:kern w:val="2"/>
        </w:rPr>
        <w:sectPr>
          <w:headerReference r:id="rId9"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30" w:name="_Toc23386"/>
      <w:bookmarkStart w:id="31" w:name="_Toc139991730"/>
      <w:bookmarkStart w:id="32" w:name="_Toc32639"/>
      <w:bookmarkStart w:id="33" w:name="_Toc4867"/>
      <w:bookmarkStart w:id="34" w:name="_Toc15517"/>
      <w:bookmarkStart w:id="35" w:name="_Toc29629"/>
      <w:bookmarkStart w:id="36" w:name="_Toc4966"/>
      <w:bookmarkStart w:id="37" w:name="_Toc26897"/>
      <w:bookmarkStart w:id="38" w:name="_Toc141703880"/>
      <w:bookmarkStart w:id="39" w:name="_Toc30935"/>
      <w:bookmarkStart w:id="40" w:name="_Toc8727"/>
      <w:bookmarkStart w:id="41" w:name="_Toc6306"/>
      <w:bookmarkStart w:id="42" w:name="_Toc123112229"/>
      <w:bookmarkStart w:id="43" w:name="_Toc123701389"/>
      <w:bookmarkStart w:id="44" w:name="_Toc123112268"/>
      <w:bookmarkStart w:id="45" w:name="_Toc233456271"/>
    </w:p>
    <w:p w14:paraId="5BADA2BA">
      <w:pPr>
        <w:pStyle w:val="2"/>
        <w:spacing w:before="0" w:after="0"/>
        <w:jc w:val="center"/>
        <w:rPr>
          <w:rFonts w:ascii="Times New Roman"/>
          <w:color w:val="auto"/>
          <w:sz w:val="30"/>
        </w:rPr>
      </w:pPr>
      <w:bookmarkStart w:id="46" w:name="_Toc11660"/>
      <w:r>
        <w:rPr>
          <w:rFonts w:ascii="Times New Roman"/>
          <w:color w:val="auto"/>
          <w:sz w:val="30"/>
        </w:rPr>
        <w:t>第一部分  前言</w:t>
      </w:r>
      <w:bookmarkEnd w:id="30"/>
      <w:bookmarkEnd w:id="31"/>
      <w:bookmarkEnd w:id="32"/>
      <w:bookmarkEnd w:id="33"/>
      <w:bookmarkEnd w:id="34"/>
      <w:bookmarkEnd w:id="35"/>
      <w:bookmarkEnd w:id="36"/>
      <w:bookmarkEnd w:id="37"/>
      <w:bookmarkEnd w:id="38"/>
      <w:bookmarkEnd w:id="39"/>
      <w:bookmarkEnd w:id="40"/>
      <w:bookmarkEnd w:id="41"/>
      <w:bookmarkEnd w:id="46"/>
    </w:p>
    <w:p w14:paraId="2F48A625">
      <w:pPr>
        <w:rPr>
          <w:bCs/>
        </w:rPr>
      </w:pPr>
      <w:bookmarkStart w:id="47" w:name="_Toc139991731"/>
    </w:p>
    <w:bookmarkEnd w:id="42"/>
    <w:bookmarkEnd w:id="43"/>
    <w:bookmarkEnd w:id="44"/>
    <w:bookmarkEnd w:id="47"/>
    <w:p w14:paraId="111A947D">
      <w:pPr>
        <w:spacing w:line="360" w:lineRule="auto"/>
        <w:ind w:firstLine="480" w:firstLineChars="200"/>
        <w:rPr>
          <w:bCs/>
          <w:sz w:val="24"/>
        </w:rPr>
      </w:pPr>
      <w:bookmarkStart w:id="48" w:name="_Toc258829399"/>
      <w:r>
        <w:rPr>
          <w:rFonts w:hint="eastAsia"/>
          <w:bCs/>
          <w:sz w:val="24"/>
        </w:rPr>
        <w:t>一、</w:t>
      </w:r>
      <w:r>
        <w:rPr>
          <w:bCs/>
          <w:sz w:val="24"/>
        </w:rPr>
        <w:t>订立本基金合同的目的、依据和原则</w:t>
      </w:r>
    </w:p>
    <w:p w14:paraId="43BF37FB">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9D37758">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订立本基金合同的依据是《中华人民共和国合同法》(以下简称“《合同法》”)、《中华人民共和国证券投资基金法》(以下简称“《基金法》”)、《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证券投资基金运作管理办法》(以下简称“《运作办法》”)、《证券投资基金销售管理办法》(以下简称“《销售办法》”)、《公开募集证券投资基金信息披露管理办法》(以下简称“《信息披露办法》”)</w:t>
      </w:r>
      <w:r>
        <w:rPr>
          <w:rFonts w:hint="eastAsia"/>
          <w:bCs/>
          <w:sz w:val="24"/>
        </w:rPr>
        <w:t>、</w:t>
      </w:r>
      <w:r>
        <w:rPr>
          <w:bCs/>
          <w:sz w:val="24"/>
        </w:rPr>
        <w:t>《</w:t>
      </w:r>
      <w:r>
        <w:rPr>
          <w:rFonts w:hint="eastAsia"/>
          <w:bCs/>
          <w:sz w:val="24"/>
        </w:rPr>
        <w:t>公开募集开放式证券投资基金流动性风险管理规定</w:t>
      </w:r>
      <w:r>
        <w:rPr>
          <w:bCs/>
          <w:sz w:val="24"/>
        </w:rPr>
        <w:t>》</w:t>
      </w:r>
      <w:r>
        <w:rPr>
          <w:rFonts w:hint="eastAsia"/>
          <w:bCs/>
          <w:sz w:val="24"/>
        </w:rPr>
        <w:t>(以下简称“《流动性风险规定》”) 、《公开募集证券投资基金侧袋机制指引（试行）》</w:t>
      </w:r>
      <w:r>
        <w:rPr>
          <w:bCs/>
          <w:sz w:val="24"/>
        </w:rPr>
        <w:t>和其他有关法律法规。</w:t>
      </w:r>
    </w:p>
    <w:p w14:paraId="609638AB">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14:paraId="7E08DFD2">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7F641D">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3308ADE">
      <w:pPr>
        <w:spacing w:line="360" w:lineRule="auto"/>
        <w:ind w:firstLine="480" w:firstLineChars="200"/>
        <w:rPr>
          <w:bCs/>
          <w:sz w:val="24"/>
        </w:rPr>
      </w:pPr>
      <w:r>
        <w:rPr>
          <w:rFonts w:hint="eastAsia"/>
          <w:bCs/>
          <w:sz w:val="24"/>
        </w:rPr>
        <w:t>三、华商双翼平衡混合型</w:t>
      </w:r>
      <w:r>
        <w:rPr>
          <w:bCs/>
          <w:sz w:val="24"/>
        </w:rPr>
        <w:t>证券投资基金由基金管理人依照《基金法》、基金合同及其他有关规定募集，并经中国证券监督管理委员会(以下简称“中国证监会”)</w:t>
      </w:r>
      <w:r>
        <w:rPr>
          <w:rFonts w:hint="eastAsia"/>
          <w:bCs/>
          <w:sz w:val="24"/>
        </w:rPr>
        <w:t>注册</w:t>
      </w:r>
      <w:r>
        <w:rPr>
          <w:bCs/>
          <w:sz w:val="24"/>
        </w:rPr>
        <w:t>。</w:t>
      </w:r>
    </w:p>
    <w:p w14:paraId="284C5ACA">
      <w:pPr>
        <w:spacing w:line="360" w:lineRule="auto"/>
        <w:ind w:firstLine="480" w:firstLineChars="20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443BFD7">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14:paraId="06236763">
      <w:pPr>
        <w:spacing w:line="360" w:lineRule="auto"/>
        <w:ind w:firstLine="480" w:firstLineChars="200"/>
        <w:rPr>
          <w:bCs/>
          <w:sz w:val="24"/>
        </w:rPr>
      </w:pPr>
      <w:r>
        <w:rPr>
          <w:rFonts w:hint="eastAsia"/>
          <w:bCs/>
          <w:sz w:val="24"/>
        </w:rPr>
        <w:t>本基金合同约定的基金产品资料概要编制、披露与更新要求，自《信息披露办法》实施之日起一年后开始执行。</w:t>
      </w:r>
    </w:p>
    <w:p w14:paraId="1741F0FF">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7C72AAC">
      <w:pPr>
        <w:numPr>
          <w:ilvl w:val="0"/>
          <w:numId w:val="2"/>
        </w:numPr>
        <w:spacing w:line="360" w:lineRule="auto"/>
        <w:ind w:firstLine="480" w:firstLineChars="20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0EBCDFA1">
      <w:pPr>
        <w:numPr>
          <w:ilvl w:val="0"/>
          <w:numId w:val="2"/>
        </w:numPr>
        <w:spacing w:line="360" w:lineRule="auto"/>
        <w:ind w:firstLine="480" w:firstLineChars="200"/>
        <w:rPr>
          <w:bCs/>
          <w:sz w:val="24"/>
        </w:rPr>
      </w:pPr>
      <w:r>
        <w:rPr>
          <w:rFonts w:hint="eastAsia"/>
          <w:bCs/>
          <w:sz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7EDBE07A">
      <w:pPr>
        <w:numPr>
          <w:ilvl w:val="0"/>
          <w:numId w:val="2"/>
        </w:numPr>
        <w:spacing w:line="360" w:lineRule="auto"/>
        <w:ind w:firstLine="480"/>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543FA2FA">
      <w:pPr>
        <w:pStyle w:val="2"/>
        <w:spacing w:before="0" w:after="0"/>
        <w:jc w:val="center"/>
        <w:rPr>
          <w:rFonts w:ascii="Times New Roman"/>
          <w:color w:val="auto"/>
          <w:sz w:val="30"/>
        </w:rPr>
      </w:pPr>
      <w:r>
        <w:rPr>
          <w:rFonts w:ascii="Times New Roman"/>
          <w:b w:val="0"/>
          <w:bCs/>
          <w:color w:val="auto"/>
          <w:kern w:val="44"/>
          <w:sz w:val="21"/>
        </w:rPr>
        <w:br w:type="page"/>
      </w:r>
      <w:bookmarkStart w:id="49" w:name="_Toc3224"/>
      <w:bookmarkStart w:id="50" w:name="_Toc21301"/>
      <w:bookmarkStart w:id="51" w:name="_Toc2465"/>
      <w:bookmarkStart w:id="52" w:name="_Toc22864"/>
      <w:bookmarkStart w:id="53" w:name="_Toc819"/>
      <w:bookmarkStart w:id="54" w:name="_Toc15067"/>
      <w:bookmarkStart w:id="55" w:name="_Toc31551"/>
      <w:bookmarkStart w:id="56" w:name="_Toc24860"/>
      <w:bookmarkStart w:id="57" w:name="_Toc19592"/>
      <w:bookmarkStart w:id="58" w:name="_Toc6617"/>
      <w:bookmarkStart w:id="59" w:name="_Toc13020"/>
      <w:r>
        <w:rPr>
          <w:rFonts w:ascii="Times New Roman"/>
          <w:color w:val="auto"/>
          <w:sz w:val="30"/>
        </w:rPr>
        <w:t>第二部分 释义</w:t>
      </w:r>
      <w:bookmarkEnd w:id="45"/>
      <w:bookmarkEnd w:id="48"/>
      <w:bookmarkEnd w:id="49"/>
      <w:bookmarkEnd w:id="50"/>
      <w:bookmarkEnd w:id="51"/>
      <w:bookmarkEnd w:id="52"/>
      <w:bookmarkEnd w:id="53"/>
      <w:bookmarkEnd w:id="54"/>
      <w:bookmarkEnd w:id="55"/>
      <w:bookmarkEnd w:id="56"/>
      <w:bookmarkEnd w:id="57"/>
      <w:bookmarkEnd w:id="58"/>
      <w:bookmarkEnd w:id="59"/>
    </w:p>
    <w:p w14:paraId="285C3800">
      <w:pPr>
        <w:autoSpaceDE w:val="0"/>
        <w:autoSpaceDN w:val="0"/>
        <w:adjustRightInd w:val="0"/>
        <w:spacing w:line="360" w:lineRule="auto"/>
        <w:ind w:firstLine="420" w:firstLineChars="200"/>
        <w:rPr>
          <w:bCs/>
        </w:rPr>
      </w:pPr>
    </w:p>
    <w:p w14:paraId="74DD100B">
      <w:pPr>
        <w:spacing w:line="360" w:lineRule="auto"/>
        <w:ind w:firstLine="480" w:firstLineChars="200"/>
        <w:rPr>
          <w:bCs/>
          <w:sz w:val="24"/>
        </w:rPr>
      </w:pPr>
      <w:r>
        <w:rPr>
          <w:bCs/>
          <w:sz w:val="24"/>
        </w:rPr>
        <w:t>在本基金合同中，除非文意另有所指，下列词语或简称具有如下含义：</w:t>
      </w:r>
    </w:p>
    <w:p w14:paraId="5FBD711A">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华商双翼平衡混合型</w:t>
      </w:r>
      <w:r>
        <w:rPr>
          <w:bCs/>
          <w:sz w:val="24"/>
        </w:rPr>
        <w:t>证券投资基金</w:t>
      </w:r>
    </w:p>
    <w:p w14:paraId="01A8DD13">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华商基金管理有限公司</w:t>
      </w:r>
    </w:p>
    <w:p w14:paraId="4635C139">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17427EB4">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华商双翼平衡混合型</w:t>
      </w:r>
      <w:r>
        <w:rPr>
          <w:bCs/>
          <w:sz w:val="24"/>
        </w:rPr>
        <w:t>证券投资基金基金合同》及对本基金合同的任何有效修订和补充</w:t>
      </w:r>
    </w:p>
    <w:p w14:paraId="6D0379E8">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华商双翼平衡混合型</w:t>
      </w:r>
      <w:r>
        <w:rPr>
          <w:bCs/>
          <w:sz w:val="24"/>
        </w:rPr>
        <w:t>证券投资基金托管协议》及对该托管协议的任何有效修订和补充</w:t>
      </w:r>
    </w:p>
    <w:p w14:paraId="3968B42A">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华商双翼平衡混合型</w:t>
      </w:r>
      <w:r>
        <w:rPr>
          <w:bCs/>
          <w:sz w:val="24"/>
        </w:rPr>
        <w:t>证券投资基金招募说明书》及其更新</w:t>
      </w:r>
    </w:p>
    <w:p w14:paraId="00D484E8">
      <w:pPr>
        <w:spacing w:line="360" w:lineRule="auto"/>
        <w:ind w:firstLine="480" w:firstLineChars="200"/>
        <w:rPr>
          <w:bCs/>
          <w:sz w:val="24"/>
        </w:rPr>
      </w:pPr>
      <w:r>
        <w:rPr>
          <w:bCs/>
          <w:sz w:val="24"/>
        </w:rPr>
        <w:t>7</w:t>
      </w:r>
      <w:r>
        <w:rPr>
          <w:rFonts w:hint="eastAsia"/>
          <w:bCs/>
          <w:sz w:val="24"/>
        </w:rPr>
        <w:t>、基金产品资料概要：指《华商双翼平衡混合型证券投资基金基金产品资料概要》及其更新</w:t>
      </w:r>
    </w:p>
    <w:p w14:paraId="73FB5CFE">
      <w:pPr>
        <w:spacing w:line="360" w:lineRule="auto"/>
        <w:ind w:firstLine="480" w:firstLineChars="200"/>
        <w:rPr>
          <w:bCs/>
          <w:sz w:val="24"/>
        </w:rPr>
      </w:pPr>
      <w:r>
        <w:rPr>
          <w:rFonts w:hint="eastAsia"/>
          <w:bCs/>
          <w:sz w:val="24"/>
        </w:rPr>
        <w:t>8、</w:t>
      </w:r>
      <w:r>
        <w:rPr>
          <w:bCs/>
          <w:sz w:val="24"/>
        </w:rPr>
        <w:t>基金份额发售公告：指《</w:t>
      </w:r>
      <w:r>
        <w:rPr>
          <w:rFonts w:hint="eastAsia"/>
          <w:bCs/>
          <w:sz w:val="24"/>
        </w:rPr>
        <w:t>华商双翼平衡混合型</w:t>
      </w:r>
      <w:r>
        <w:rPr>
          <w:bCs/>
          <w:sz w:val="24"/>
        </w:rPr>
        <w:t>证券投资基金基金份额发售公告》</w:t>
      </w:r>
    </w:p>
    <w:p w14:paraId="0D2B7CA1">
      <w:pPr>
        <w:spacing w:line="360" w:lineRule="auto"/>
        <w:ind w:firstLine="480" w:firstLineChars="200"/>
        <w:rPr>
          <w:bCs/>
          <w:sz w:val="24"/>
        </w:rPr>
      </w:pPr>
      <w:r>
        <w:rPr>
          <w:rFonts w:hint="eastAsia"/>
          <w:bCs/>
          <w:sz w:val="24"/>
        </w:rPr>
        <w:t>9、</w:t>
      </w:r>
      <w:r>
        <w:rPr>
          <w:bCs/>
          <w:sz w:val="24"/>
        </w:rPr>
        <w:t>法律法规：指中国现行有效并公布实施的法律、行政法规、规范性文件、司法解释、行政规章以及其他对基金合同当事人有约束力的决定、决议、通知等</w:t>
      </w:r>
    </w:p>
    <w:p w14:paraId="5858F159">
      <w:pPr>
        <w:spacing w:line="360" w:lineRule="auto"/>
        <w:ind w:firstLine="480" w:firstLineChars="200"/>
        <w:rPr>
          <w:bCs/>
          <w:sz w:val="24"/>
        </w:rPr>
      </w:pPr>
      <w:r>
        <w:rPr>
          <w:rFonts w:hint="eastAsia"/>
          <w:bCs/>
          <w:sz w:val="24"/>
        </w:rPr>
        <w:t>10、</w:t>
      </w:r>
      <w:r>
        <w:rPr>
          <w:bCs/>
          <w:sz w:val="24"/>
        </w:rPr>
        <w:t>《基金法》：指2003年10月28日经第十届全国人民代表大会常务委员会第五次会议通过，</w:t>
      </w:r>
      <w:r>
        <w:rPr>
          <w:rFonts w:hint="eastAsia"/>
          <w:bCs/>
          <w:sz w:val="24"/>
        </w:rPr>
        <w:t>2012年12月28日经第十一届全国人民代表大会常务委员会第三十次会议修订，</w:t>
      </w:r>
      <w:r>
        <w:rPr>
          <w:bCs/>
          <w:sz w:val="24"/>
        </w:rPr>
        <w:t>自</w:t>
      </w:r>
      <w:r>
        <w:rPr>
          <w:rFonts w:hint="eastAsia"/>
          <w:bCs/>
          <w:sz w:val="24"/>
        </w:rPr>
        <w:t>2013</w:t>
      </w:r>
      <w:r>
        <w:rPr>
          <w:bCs/>
          <w:sz w:val="24"/>
        </w:rPr>
        <w:t>年6月1日起实施的《中华人民共和国证券投资基金法》及颁布机关对其不时做出的修订</w:t>
      </w:r>
    </w:p>
    <w:p w14:paraId="672FBA66">
      <w:pPr>
        <w:spacing w:line="360" w:lineRule="auto"/>
        <w:ind w:firstLine="480" w:firstLineChars="200"/>
        <w:rPr>
          <w:bCs/>
          <w:sz w:val="24"/>
        </w:rPr>
      </w:pPr>
      <w:r>
        <w:rPr>
          <w:bCs/>
          <w:sz w:val="24"/>
        </w:rPr>
        <w:t>1</w:t>
      </w:r>
      <w:r>
        <w:rPr>
          <w:rFonts w:hint="eastAsia"/>
          <w:bCs/>
          <w:sz w:val="24"/>
        </w:rPr>
        <w:t>1、</w:t>
      </w:r>
      <w:r>
        <w:rPr>
          <w:bCs/>
          <w:sz w:val="24"/>
        </w:rPr>
        <w:t>《销售办法》：</w:t>
      </w:r>
      <w:r>
        <w:rPr>
          <w:rFonts w:hint="eastAsia"/>
          <w:bCs/>
          <w:sz w:val="24"/>
        </w:rPr>
        <w:t>指中国证监会2013年3月15日颁布、同年6月1日实施的《证券投资基金销售管理办法》及颁布机关对其不时做出的修订</w:t>
      </w:r>
    </w:p>
    <w:p w14:paraId="2D0EB771">
      <w:pPr>
        <w:spacing w:line="360" w:lineRule="auto"/>
        <w:ind w:firstLine="480" w:firstLineChars="200"/>
        <w:rPr>
          <w:bCs/>
          <w:sz w:val="24"/>
        </w:rPr>
      </w:pPr>
      <w:r>
        <w:rPr>
          <w:bCs/>
          <w:sz w:val="24"/>
        </w:rPr>
        <w:t>1</w:t>
      </w:r>
      <w:r>
        <w:rPr>
          <w:rFonts w:hint="eastAsia"/>
          <w:bCs/>
          <w:sz w:val="24"/>
        </w:rPr>
        <w:t>2、</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月1日实施的《</w:t>
      </w:r>
      <w:r>
        <w:rPr>
          <w:rFonts w:hint="eastAsia"/>
          <w:bCs/>
          <w:sz w:val="24"/>
        </w:rPr>
        <w:t>公开募集</w:t>
      </w:r>
      <w:r>
        <w:rPr>
          <w:bCs/>
          <w:sz w:val="24"/>
        </w:rPr>
        <w:t>证券投资基金信息披露管理办法》及颁布机关对其不时做出的修订</w:t>
      </w:r>
    </w:p>
    <w:p w14:paraId="28A04278">
      <w:pPr>
        <w:spacing w:line="360" w:lineRule="auto"/>
        <w:ind w:firstLine="480" w:firstLineChars="200"/>
        <w:rPr>
          <w:bCs/>
          <w:sz w:val="24"/>
        </w:rPr>
      </w:pPr>
      <w:r>
        <w:rPr>
          <w:rFonts w:hint="eastAsia"/>
          <w:bCs/>
          <w:sz w:val="24"/>
        </w:rPr>
        <w:t>13、</w:t>
      </w:r>
      <w:r>
        <w:rPr>
          <w:bCs/>
          <w:sz w:val="24"/>
        </w:rPr>
        <w:t>《运作办法》：</w:t>
      </w:r>
      <w:r>
        <w:rPr>
          <w:rFonts w:hint="eastAsia"/>
          <w:bCs/>
          <w:sz w:val="24"/>
        </w:rPr>
        <w:t>指中国证监会2014年7月7日颁布、同年8月8日实施的《公开募集证券投资基金运作管理办法》及颁布机关对其不时做出的修订</w:t>
      </w:r>
    </w:p>
    <w:p w14:paraId="2722B5F6">
      <w:pPr>
        <w:spacing w:line="360" w:lineRule="auto"/>
        <w:ind w:firstLine="480" w:firstLineChars="200"/>
        <w:rPr>
          <w:bCs/>
          <w:sz w:val="24"/>
        </w:rPr>
      </w:pPr>
      <w:r>
        <w:rPr>
          <w:bCs/>
          <w:sz w:val="24"/>
        </w:rPr>
        <w:t>1</w:t>
      </w:r>
      <w:r>
        <w:rPr>
          <w:rFonts w:hint="eastAsia"/>
          <w:bCs/>
          <w:sz w:val="24"/>
        </w:rPr>
        <w:t>4、《流动性风险规定》：指中国证监会2017年</w:t>
      </w:r>
      <w:r>
        <w:rPr>
          <w:bCs/>
          <w:sz w:val="24"/>
        </w:rPr>
        <w:t>8</w:t>
      </w:r>
      <w:r>
        <w:rPr>
          <w:rFonts w:hint="eastAsia"/>
          <w:bCs/>
          <w:sz w:val="24"/>
        </w:rPr>
        <w:t>月31日颁布、同年10月1日实施的《公开募集开放式证券投资基金流动性风险管理规定》及颁布机关对其不时做出的修订</w:t>
      </w:r>
    </w:p>
    <w:p w14:paraId="79AB52F7">
      <w:pPr>
        <w:spacing w:line="360" w:lineRule="auto"/>
        <w:ind w:firstLine="480" w:firstLineChars="200"/>
        <w:rPr>
          <w:bCs/>
          <w:sz w:val="24"/>
        </w:rPr>
      </w:pPr>
      <w:r>
        <w:rPr>
          <w:rFonts w:hint="eastAsia"/>
          <w:bCs/>
          <w:sz w:val="24"/>
        </w:rPr>
        <w:t>15、</w:t>
      </w:r>
      <w:r>
        <w:rPr>
          <w:bCs/>
          <w:sz w:val="24"/>
        </w:rPr>
        <w:t>中国证监会：指中国证券监督管理委员会</w:t>
      </w:r>
    </w:p>
    <w:p w14:paraId="3C9ABB34">
      <w:pPr>
        <w:spacing w:line="360" w:lineRule="auto"/>
        <w:ind w:firstLine="480" w:firstLineChars="200"/>
        <w:rPr>
          <w:bCs/>
          <w:sz w:val="24"/>
        </w:rPr>
      </w:pPr>
      <w:r>
        <w:rPr>
          <w:bCs/>
          <w:sz w:val="24"/>
        </w:rPr>
        <w:t>1</w:t>
      </w:r>
      <w:r>
        <w:rPr>
          <w:rFonts w:hint="eastAsia"/>
          <w:bCs/>
          <w:sz w:val="24"/>
        </w:rPr>
        <w:t>6、</w:t>
      </w:r>
      <w:r>
        <w:rPr>
          <w:bCs/>
          <w:sz w:val="24"/>
        </w:rPr>
        <w:t>银行业监督管理机构：指中国人民银行和/或中国银行业监督管理委员会</w:t>
      </w:r>
    </w:p>
    <w:p w14:paraId="170C7BE8">
      <w:pPr>
        <w:spacing w:line="360" w:lineRule="auto"/>
        <w:ind w:firstLine="480" w:firstLineChars="200"/>
        <w:rPr>
          <w:bCs/>
          <w:sz w:val="24"/>
        </w:rPr>
      </w:pPr>
      <w:r>
        <w:rPr>
          <w:bCs/>
          <w:sz w:val="24"/>
        </w:rPr>
        <w:t>1</w:t>
      </w:r>
      <w:r>
        <w:rPr>
          <w:rFonts w:hint="eastAsia"/>
          <w:bCs/>
          <w:sz w:val="24"/>
        </w:rPr>
        <w:t>7、</w:t>
      </w:r>
      <w:r>
        <w:rPr>
          <w:bCs/>
          <w:sz w:val="24"/>
        </w:rPr>
        <w:t>基金合同当事人：指受基金合同约束，根据基金合同享有权利并承担义务的法律主体，包括基金管理人、基金托管人和基金份额持有人</w:t>
      </w:r>
    </w:p>
    <w:p w14:paraId="54FA27BB">
      <w:pPr>
        <w:spacing w:line="360" w:lineRule="auto"/>
        <w:ind w:firstLine="480" w:firstLineChars="200"/>
        <w:rPr>
          <w:bCs/>
          <w:sz w:val="24"/>
        </w:rPr>
      </w:pPr>
      <w:r>
        <w:rPr>
          <w:bCs/>
          <w:sz w:val="24"/>
        </w:rPr>
        <w:t>1</w:t>
      </w:r>
      <w:r>
        <w:rPr>
          <w:rFonts w:hint="eastAsia"/>
          <w:bCs/>
          <w:sz w:val="24"/>
        </w:rPr>
        <w:t>8、</w:t>
      </w:r>
      <w:r>
        <w:rPr>
          <w:bCs/>
          <w:sz w:val="24"/>
        </w:rPr>
        <w:t>个人投资者：指依据有关法律法规规定可投资于证券投资基金的自然人</w:t>
      </w:r>
    </w:p>
    <w:p w14:paraId="1BD31078">
      <w:pPr>
        <w:spacing w:line="360" w:lineRule="auto"/>
        <w:ind w:firstLine="480" w:firstLineChars="200"/>
        <w:rPr>
          <w:bCs/>
          <w:sz w:val="24"/>
        </w:rPr>
      </w:pPr>
      <w:r>
        <w:rPr>
          <w:bCs/>
          <w:sz w:val="24"/>
        </w:rPr>
        <w:t>1</w:t>
      </w:r>
      <w:r>
        <w:rPr>
          <w:rFonts w:hint="eastAsia"/>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14:paraId="0B2B95C7">
      <w:pPr>
        <w:spacing w:line="360" w:lineRule="auto"/>
        <w:ind w:firstLine="480" w:firstLineChars="200"/>
        <w:rPr>
          <w:bCs/>
          <w:sz w:val="24"/>
        </w:rPr>
      </w:pPr>
      <w:r>
        <w:rPr>
          <w:rFonts w:hint="eastAsia"/>
          <w:bCs/>
          <w:sz w:val="24"/>
        </w:rPr>
        <w:t>20、合格境外机构投资者：指符合相关法律法规规定可以投资于在中国境内依法募集的证券投资基金的中国境外的机构投资者</w:t>
      </w:r>
    </w:p>
    <w:p w14:paraId="221DA007">
      <w:pPr>
        <w:spacing w:line="360" w:lineRule="auto"/>
        <w:ind w:firstLine="480" w:firstLineChars="200"/>
        <w:rPr>
          <w:bCs/>
          <w:sz w:val="24"/>
        </w:rPr>
      </w:pPr>
      <w:r>
        <w:rPr>
          <w:rFonts w:hint="eastAsia"/>
          <w:bCs/>
          <w:sz w:val="24"/>
        </w:rPr>
        <w:t>21、</w:t>
      </w:r>
      <w:r>
        <w:rPr>
          <w:bCs/>
          <w:sz w:val="24"/>
        </w:rPr>
        <w:t>投资人</w:t>
      </w:r>
      <w:r>
        <w:rPr>
          <w:rFonts w:hint="eastAsia"/>
          <w:bCs/>
          <w:sz w:val="24"/>
        </w:rPr>
        <w:t>、投资者</w:t>
      </w:r>
      <w:r>
        <w:rPr>
          <w:bCs/>
          <w:sz w:val="24"/>
        </w:rPr>
        <w:t>：指个人投资者、机构投资者和合格境外机构投资者以及法律法规或中国证监会允许购买证券投资基金的其他投资人的合称</w:t>
      </w:r>
    </w:p>
    <w:p w14:paraId="6590F0E0">
      <w:pPr>
        <w:spacing w:line="360" w:lineRule="auto"/>
        <w:ind w:firstLine="480" w:firstLineChars="200"/>
        <w:rPr>
          <w:bCs/>
          <w:sz w:val="24"/>
        </w:rPr>
      </w:pPr>
      <w:r>
        <w:rPr>
          <w:rFonts w:hint="eastAsia"/>
          <w:bCs/>
          <w:sz w:val="24"/>
        </w:rPr>
        <w:t>22、</w:t>
      </w:r>
      <w:r>
        <w:rPr>
          <w:bCs/>
          <w:sz w:val="24"/>
        </w:rPr>
        <w:t>基金份额持有人：指依基金合同和招募说明书合法取得基金份额的投资人</w:t>
      </w:r>
    </w:p>
    <w:p w14:paraId="0475B465">
      <w:pPr>
        <w:spacing w:line="360" w:lineRule="auto"/>
        <w:ind w:firstLine="480" w:firstLineChars="200"/>
        <w:rPr>
          <w:bCs/>
          <w:sz w:val="24"/>
        </w:rPr>
      </w:pPr>
      <w:r>
        <w:rPr>
          <w:bCs/>
          <w:sz w:val="24"/>
        </w:rPr>
        <w:t>2</w:t>
      </w:r>
      <w:r>
        <w:rPr>
          <w:rFonts w:hint="eastAsia"/>
          <w:bCs/>
          <w:sz w:val="24"/>
        </w:rPr>
        <w:t>3、</w:t>
      </w:r>
      <w:r>
        <w:rPr>
          <w:bCs/>
          <w:sz w:val="24"/>
        </w:rPr>
        <w:t>基金销售业务：指基金管理人或销售机构宣传推介基金，发售基金份额，办理基金份额的申购、赎回、转换、转托管及定期定额投资等业务</w:t>
      </w:r>
      <w:r>
        <w:rPr>
          <w:rFonts w:hint="eastAsia"/>
          <w:bCs/>
          <w:sz w:val="24"/>
        </w:rPr>
        <w:t>。</w:t>
      </w:r>
    </w:p>
    <w:p w14:paraId="32963333">
      <w:pPr>
        <w:spacing w:line="360" w:lineRule="auto"/>
        <w:ind w:firstLine="480" w:firstLineChars="200"/>
        <w:rPr>
          <w:bCs/>
          <w:sz w:val="24"/>
        </w:rPr>
      </w:pPr>
      <w:r>
        <w:rPr>
          <w:bCs/>
          <w:sz w:val="24"/>
        </w:rPr>
        <w:t>2</w:t>
      </w:r>
      <w:r>
        <w:rPr>
          <w:rFonts w:hint="eastAsia"/>
          <w:bCs/>
          <w:sz w:val="24"/>
        </w:rPr>
        <w:t>4、</w:t>
      </w:r>
      <w:r>
        <w:rPr>
          <w:bCs/>
          <w:sz w:val="24"/>
        </w:rPr>
        <w:t>销售机构：指</w:t>
      </w:r>
      <w:r>
        <w:rPr>
          <w:rFonts w:hint="eastAsia"/>
          <w:bCs/>
          <w:sz w:val="24"/>
        </w:rPr>
        <w:t>华商基金管理有限公司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w:t>
      </w:r>
      <w:r>
        <w:rPr>
          <w:rFonts w:hint="eastAsia"/>
          <w:bCs/>
          <w:sz w:val="24"/>
        </w:rPr>
        <w:t>负责</w:t>
      </w:r>
      <w:r>
        <w:rPr>
          <w:bCs/>
          <w:sz w:val="24"/>
        </w:rPr>
        <w:t>办理基金销售业务的机构</w:t>
      </w:r>
    </w:p>
    <w:p w14:paraId="47370152">
      <w:pPr>
        <w:spacing w:line="360" w:lineRule="auto"/>
        <w:ind w:firstLine="480" w:firstLineChars="200"/>
        <w:rPr>
          <w:bCs/>
          <w:sz w:val="24"/>
        </w:rPr>
      </w:pPr>
      <w:r>
        <w:rPr>
          <w:rFonts w:hint="eastAsia"/>
          <w:bCs/>
          <w:sz w:val="24"/>
        </w:rPr>
        <w:t>25、</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243A7FCE">
      <w:pPr>
        <w:spacing w:line="360" w:lineRule="auto"/>
        <w:ind w:firstLine="480" w:firstLineChars="200"/>
        <w:rPr>
          <w:bCs/>
          <w:sz w:val="24"/>
        </w:rPr>
      </w:pPr>
      <w:r>
        <w:rPr>
          <w:bCs/>
          <w:sz w:val="24"/>
        </w:rPr>
        <w:t>2</w:t>
      </w:r>
      <w:r>
        <w:rPr>
          <w:rFonts w:hint="eastAsia"/>
          <w:bCs/>
          <w:sz w:val="24"/>
        </w:rPr>
        <w:t>6、</w:t>
      </w:r>
      <w:r>
        <w:rPr>
          <w:bCs/>
          <w:sz w:val="24"/>
        </w:rPr>
        <w:t>登记机构：指办理登记业务的机构。基金的登记机构为</w:t>
      </w:r>
      <w:r>
        <w:rPr>
          <w:rFonts w:hint="eastAsia"/>
          <w:bCs/>
          <w:sz w:val="24"/>
        </w:rPr>
        <w:t>华商基金管理有限公司</w:t>
      </w:r>
      <w:r>
        <w:rPr>
          <w:bCs/>
          <w:sz w:val="24"/>
        </w:rPr>
        <w:t>或接受</w:t>
      </w:r>
      <w:r>
        <w:rPr>
          <w:rFonts w:hint="eastAsia"/>
          <w:bCs/>
          <w:sz w:val="24"/>
        </w:rPr>
        <w:t>华商基金管理有限公司</w:t>
      </w:r>
      <w:r>
        <w:rPr>
          <w:bCs/>
          <w:sz w:val="24"/>
        </w:rPr>
        <w:t>委托代为办理登记业务的机构</w:t>
      </w:r>
    </w:p>
    <w:p w14:paraId="7345D394">
      <w:pPr>
        <w:spacing w:line="360" w:lineRule="auto"/>
        <w:ind w:firstLine="480" w:firstLineChars="200"/>
        <w:rPr>
          <w:bCs/>
          <w:sz w:val="24"/>
        </w:rPr>
      </w:pPr>
      <w:r>
        <w:rPr>
          <w:bCs/>
          <w:sz w:val="24"/>
        </w:rPr>
        <w:t>2</w:t>
      </w:r>
      <w:r>
        <w:rPr>
          <w:rFonts w:hint="eastAsia"/>
          <w:bCs/>
          <w:sz w:val="24"/>
        </w:rPr>
        <w:t>7、</w:t>
      </w:r>
      <w:r>
        <w:rPr>
          <w:bCs/>
          <w:sz w:val="24"/>
        </w:rPr>
        <w:t>基金账户：指登记机构为投资人开立的、记录其持有的、基金管理人所管理的基金份额余额及其变动情况的账户</w:t>
      </w:r>
    </w:p>
    <w:p w14:paraId="58D2DB7C">
      <w:pPr>
        <w:spacing w:line="360" w:lineRule="auto"/>
        <w:ind w:firstLine="480" w:firstLineChars="200"/>
        <w:rPr>
          <w:bCs/>
          <w:sz w:val="24"/>
        </w:rPr>
      </w:pPr>
      <w:r>
        <w:rPr>
          <w:bCs/>
          <w:sz w:val="24"/>
        </w:rPr>
        <w:t>2</w:t>
      </w:r>
      <w:r>
        <w:rPr>
          <w:rFonts w:hint="eastAsia"/>
          <w:bCs/>
          <w:sz w:val="24"/>
        </w:rPr>
        <w:t>8、</w:t>
      </w:r>
      <w:r>
        <w:rPr>
          <w:bCs/>
          <w:sz w:val="24"/>
        </w:rPr>
        <w:t>基金交易账户：指销售机构为投资人开立的、记录投资人通过该销售机构</w:t>
      </w:r>
      <w:r>
        <w:rPr>
          <w:rFonts w:hint="eastAsia"/>
          <w:bCs/>
          <w:sz w:val="24"/>
        </w:rPr>
        <w:t>办理认购、申购、赎回、转换及转托管及定期定额投资业务</w:t>
      </w:r>
      <w:r>
        <w:rPr>
          <w:bCs/>
          <w:sz w:val="24"/>
        </w:rPr>
        <w:t>的基金份额变动及结余情况的账户</w:t>
      </w:r>
    </w:p>
    <w:p w14:paraId="2C3B14AA">
      <w:pPr>
        <w:spacing w:line="360" w:lineRule="auto"/>
        <w:ind w:firstLine="480" w:firstLineChars="200"/>
        <w:rPr>
          <w:bCs/>
          <w:sz w:val="24"/>
        </w:rPr>
      </w:pPr>
      <w:r>
        <w:rPr>
          <w:bCs/>
          <w:sz w:val="24"/>
        </w:rPr>
        <w:t>2</w:t>
      </w:r>
      <w:r>
        <w:rPr>
          <w:rFonts w:hint="eastAsia"/>
          <w:bCs/>
          <w:sz w:val="24"/>
        </w:rPr>
        <w:t>9、</w:t>
      </w:r>
      <w:r>
        <w:rPr>
          <w:bCs/>
          <w:sz w:val="24"/>
        </w:rPr>
        <w:t>基金合同生效日：指基金募集达到法律法规规定及基金合同规定的条件，基金管理人向中国证监会办理基金备案手续完毕，并获得中国证监会书面确认的日期</w:t>
      </w:r>
    </w:p>
    <w:p w14:paraId="719497D2">
      <w:pPr>
        <w:spacing w:line="360" w:lineRule="auto"/>
        <w:ind w:firstLine="480" w:firstLineChars="200"/>
        <w:rPr>
          <w:bCs/>
          <w:sz w:val="24"/>
        </w:rPr>
      </w:pPr>
      <w:r>
        <w:rPr>
          <w:rFonts w:hint="eastAsia"/>
          <w:bCs/>
          <w:sz w:val="24"/>
        </w:rPr>
        <w:t>30、</w:t>
      </w:r>
      <w:r>
        <w:rPr>
          <w:bCs/>
          <w:sz w:val="24"/>
        </w:rPr>
        <w:t>基金合同终止日：指基金合同规定的基金合同终止事由出现后，基金财产清算完毕，清算结果报中国证监会备案并予以公告的日期</w:t>
      </w:r>
    </w:p>
    <w:p w14:paraId="6C9139DD">
      <w:pPr>
        <w:spacing w:line="360" w:lineRule="auto"/>
        <w:ind w:firstLine="480" w:firstLineChars="200"/>
        <w:rPr>
          <w:bCs/>
          <w:sz w:val="24"/>
        </w:rPr>
      </w:pPr>
      <w:r>
        <w:rPr>
          <w:rFonts w:hint="eastAsia"/>
          <w:bCs/>
          <w:sz w:val="24"/>
        </w:rPr>
        <w:t>31、</w:t>
      </w:r>
      <w:r>
        <w:rPr>
          <w:bCs/>
          <w:sz w:val="24"/>
        </w:rPr>
        <w:t>基金募集期：指自基金份额发售之日起至发售结束之日止的期间，最长不得超过</w:t>
      </w:r>
      <w:r>
        <w:rPr>
          <w:rFonts w:hint="eastAsia"/>
          <w:bCs/>
          <w:sz w:val="24"/>
        </w:rPr>
        <w:t>3</w:t>
      </w:r>
      <w:r>
        <w:rPr>
          <w:bCs/>
          <w:sz w:val="24"/>
        </w:rPr>
        <w:t>个月</w:t>
      </w:r>
    </w:p>
    <w:p w14:paraId="1A65C6C1">
      <w:pPr>
        <w:spacing w:line="360" w:lineRule="auto"/>
        <w:ind w:firstLine="480" w:firstLineChars="200"/>
        <w:rPr>
          <w:bCs/>
          <w:sz w:val="24"/>
        </w:rPr>
      </w:pPr>
      <w:r>
        <w:rPr>
          <w:rFonts w:hint="eastAsia"/>
          <w:bCs/>
          <w:sz w:val="24"/>
        </w:rPr>
        <w:t>32、</w:t>
      </w:r>
      <w:r>
        <w:rPr>
          <w:bCs/>
          <w:sz w:val="24"/>
        </w:rPr>
        <w:t>存续期：指基金合同生效至终止之间的不定期期限</w:t>
      </w:r>
    </w:p>
    <w:p w14:paraId="4D868A24">
      <w:pPr>
        <w:spacing w:line="360" w:lineRule="auto"/>
        <w:ind w:firstLine="480" w:firstLineChars="200"/>
        <w:rPr>
          <w:bCs/>
          <w:sz w:val="24"/>
        </w:rPr>
      </w:pPr>
      <w:r>
        <w:rPr>
          <w:bCs/>
          <w:sz w:val="24"/>
        </w:rPr>
        <w:t>3</w:t>
      </w:r>
      <w:r>
        <w:rPr>
          <w:rFonts w:hint="eastAsia"/>
          <w:bCs/>
          <w:sz w:val="24"/>
        </w:rPr>
        <w:t>3、</w:t>
      </w:r>
      <w:r>
        <w:rPr>
          <w:bCs/>
          <w:sz w:val="24"/>
        </w:rPr>
        <w:t>工作日：指上海证券交易所、深圳证券交易所</w:t>
      </w:r>
      <w:r>
        <w:rPr>
          <w:rFonts w:hint="eastAsia"/>
          <w:bCs/>
          <w:sz w:val="24"/>
        </w:rPr>
        <w:t>及相关期货交易所</w:t>
      </w:r>
      <w:r>
        <w:rPr>
          <w:bCs/>
          <w:sz w:val="24"/>
        </w:rPr>
        <w:t>的正常交易日</w:t>
      </w:r>
    </w:p>
    <w:p w14:paraId="3D6E717A">
      <w:pPr>
        <w:spacing w:line="360" w:lineRule="auto"/>
        <w:ind w:firstLine="480" w:firstLineChars="200"/>
        <w:rPr>
          <w:bCs/>
          <w:sz w:val="24"/>
        </w:rPr>
      </w:pPr>
      <w:r>
        <w:rPr>
          <w:bCs/>
          <w:sz w:val="24"/>
        </w:rPr>
        <w:t>3</w:t>
      </w:r>
      <w:r>
        <w:rPr>
          <w:rFonts w:hint="eastAsia"/>
          <w:bCs/>
          <w:sz w:val="24"/>
        </w:rPr>
        <w:t>4、</w:t>
      </w:r>
      <w:r>
        <w:rPr>
          <w:bCs/>
          <w:sz w:val="24"/>
        </w:rPr>
        <w:t>T日：指销售机构在规定时间受理投资人申购、赎回或其他业务申请的开放日</w:t>
      </w:r>
    </w:p>
    <w:p w14:paraId="51042C76">
      <w:pPr>
        <w:spacing w:line="360" w:lineRule="auto"/>
        <w:ind w:firstLine="480" w:firstLineChars="200"/>
        <w:rPr>
          <w:bCs/>
          <w:sz w:val="24"/>
        </w:rPr>
      </w:pPr>
      <w:r>
        <w:rPr>
          <w:bCs/>
          <w:sz w:val="24"/>
        </w:rPr>
        <w:t>3</w:t>
      </w:r>
      <w:r>
        <w:rPr>
          <w:rFonts w:hint="eastAsia"/>
          <w:bCs/>
          <w:sz w:val="24"/>
        </w:rPr>
        <w:t>5、</w:t>
      </w:r>
      <w:r>
        <w:rPr>
          <w:bCs/>
          <w:sz w:val="24"/>
        </w:rPr>
        <w:t>T+n日：指自T日起第n个工作日(不包含T日)</w:t>
      </w:r>
      <w:r>
        <w:rPr>
          <w:rFonts w:hint="eastAsia"/>
          <w:bCs/>
          <w:sz w:val="24"/>
        </w:rPr>
        <w:t>，n为自然数</w:t>
      </w:r>
    </w:p>
    <w:p w14:paraId="282A8E39">
      <w:pPr>
        <w:spacing w:line="360" w:lineRule="auto"/>
        <w:ind w:firstLine="480" w:firstLineChars="200"/>
        <w:rPr>
          <w:bCs/>
          <w:sz w:val="24"/>
        </w:rPr>
      </w:pPr>
      <w:r>
        <w:rPr>
          <w:bCs/>
          <w:sz w:val="24"/>
        </w:rPr>
        <w:t>3</w:t>
      </w:r>
      <w:r>
        <w:rPr>
          <w:rFonts w:hint="eastAsia"/>
          <w:bCs/>
          <w:sz w:val="24"/>
        </w:rPr>
        <w:t>6、</w:t>
      </w:r>
      <w:r>
        <w:rPr>
          <w:bCs/>
          <w:sz w:val="24"/>
        </w:rPr>
        <w:t>开放日：指为投资人办理基金份额申购、赎回或其他业务的工作日</w:t>
      </w:r>
    </w:p>
    <w:p w14:paraId="039EF501">
      <w:pPr>
        <w:spacing w:line="360" w:lineRule="auto"/>
        <w:ind w:firstLine="480" w:firstLineChars="200"/>
        <w:rPr>
          <w:bCs/>
          <w:sz w:val="24"/>
        </w:rPr>
      </w:pPr>
      <w:r>
        <w:rPr>
          <w:bCs/>
          <w:sz w:val="24"/>
        </w:rPr>
        <w:t>3</w:t>
      </w:r>
      <w:r>
        <w:rPr>
          <w:rFonts w:hint="eastAsia"/>
          <w:bCs/>
          <w:sz w:val="24"/>
        </w:rPr>
        <w:t>7、</w:t>
      </w:r>
      <w:r>
        <w:rPr>
          <w:bCs/>
          <w:sz w:val="24"/>
        </w:rPr>
        <w:t>开放时间：指开放日基金接受申购、赎回或其他交易的时间段</w:t>
      </w:r>
    </w:p>
    <w:p w14:paraId="0429E81B">
      <w:pPr>
        <w:spacing w:line="360" w:lineRule="auto"/>
        <w:ind w:firstLine="480" w:firstLineChars="200"/>
        <w:rPr>
          <w:bCs/>
          <w:sz w:val="24"/>
        </w:rPr>
      </w:pPr>
      <w:r>
        <w:rPr>
          <w:bCs/>
          <w:sz w:val="24"/>
        </w:rPr>
        <w:t>3</w:t>
      </w:r>
      <w:r>
        <w:rPr>
          <w:rFonts w:hint="eastAsia"/>
          <w:bCs/>
          <w:sz w:val="24"/>
        </w:rPr>
        <w:t>8、</w:t>
      </w:r>
      <w:r>
        <w:rPr>
          <w:bCs/>
          <w:sz w:val="24"/>
        </w:rPr>
        <w:t>《业务规则》：指《</w:t>
      </w:r>
      <w:r>
        <w:rPr>
          <w:rFonts w:hint="eastAsia"/>
          <w:bCs/>
          <w:sz w:val="24"/>
        </w:rPr>
        <w:t>华商基金管理有限公司</w:t>
      </w:r>
      <w:r>
        <w:rPr>
          <w:bCs/>
          <w:sz w:val="24"/>
        </w:rPr>
        <w:t>开放式基金业务规则》，是规范基金管理人所管理的开放式证券投资基金登记方面的业务规则，由基金管理人和投资人共同遵守</w:t>
      </w:r>
    </w:p>
    <w:p w14:paraId="56BA04E3">
      <w:pPr>
        <w:spacing w:line="360" w:lineRule="auto"/>
        <w:ind w:firstLine="480" w:firstLineChars="200"/>
        <w:rPr>
          <w:bCs/>
          <w:sz w:val="24"/>
        </w:rPr>
      </w:pPr>
      <w:r>
        <w:rPr>
          <w:bCs/>
          <w:sz w:val="24"/>
        </w:rPr>
        <w:t>3</w:t>
      </w:r>
      <w:r>
        <w:rPr>
          <w:rFonts w:hint="eastAsia"/>
          <w:bCs/>
          <w:sz w:val="24"/>
        </w:rPr>
        <w:t>9、</w:t>
      </w:r>
      <w:r>
        <w:rPr>
          <w:bCs/>
          <w:sz w:val="24"/>
        </w:rPr>
        <w:t>认购：指在基金募集期内，投资人</w:t>
      </w:r>
      <w:r>
        <w:rPr>
          <w:rFonts w:hint="eastAsia"/>
          <w:bCs/>
          <w:sz w:val="24"/>
        </w:rPr>
        <w:t>根据基金合同和招募说明书的规定</w:t>
      </w:r>
      <w:r>
        <w:rPr>
          <w:bCs/>
          <w:sz w:val="24"/>
        </w:rPr>
        <w:t>申请购买基金份额的行为</w:t>
      </w:r>
    </w:p>
    <w:p w14:paraId="395A5155">
      <w:pPr>
        <w:spacing w:line="360" w:lineRule="auto"/>
        <w:ind w:firstLine="480" w:firstLineChars="200"/>
        <w:rPr>
          <w:bCs/>
          <w:sz w:val="24"/>
        </w:rPr>
      </w:pPr>
      <w:r>
        <w:rPr>
          <w:rFonts w:hint="eastAsia"/>
          <w:bCs/>
          <w:sz w:val="24"/>
        </w:rPr>
        <w:t>40、</w:t>
      </w:r>
      <w:r>
        <w:rPr>
          <w:bCs/>
          <w:sz w:val="24"/>
        </w:rPr>
        <w:t>申购：指基金合同生效后，投资人根据基金合同和招募说明书的规定申请购买基金份额的行为</w:t>
      </w:r>
    </w:p>
    <w:p w14:paraId="58EEEDB0">
      <w:pPr>
        <w:spacing w:line="360" w:lineRule="auto"/>
        <w:ind w:firstLine="480" w:firstLineChars="200"/>
        <w:rPr>
          <w:bCs/>
          <w:sz w:val="24"/>
        </w:rPr>
      </w:pPr>
      <w:r>
        <w:rPr>
          <w:rFonts w:hint="eastAsia"/>
          <w:bCs/>
          <w:sz w:val="24"/>
        </w:rPr>
        <w:t>41、</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61216189">
      <w:pPr>
        <w:spacing w:line="360" w:lineRule="auto"/>
        <w:ind w:firstLine="480" w:firstLineChars="200"/>
        <w:rPr>
          <w:bCs/>
          <w:sz w:val="24"/>
        </w:rPr>
      </w:pPr>
      <w:r>
        <w:rPr>
          <w:rFonts w:hint="eastAsia"/>
          <w:bCs/>
          <w:sz w:val="24"/>
        </w:rPr>
        <w:t>42、</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8A7B47D">
      <w:pPr>
        <w:spacing w:line="360" w:lineRule="auto"/>
        <w:ind w:firstLine="480" w:firstLineChars="200"/>
        <w:rPr>
          <w:bCs/>
          <w:sz w:val="24"/>
        </w:rPr>
      </w:pPr>
      <w:r>
        <w:rPr>
          <w:bCs/>
          <w:sz w:val="24"/>
        </w:rPr>
        <w:t>4</w:t>
      </w:r>
      <w:r>
        <w:rPr>
          <w:rFonts w:hint="eastAsia"/>
          <w:bCs/>
          <w:sz w:val="24"/>
        </w:rPr>
        <w:t>3、</w:t>
      </w:r>
      <w:r>
        <w:rPr>
          <w:bCs/>
          <w:sz w:val="24"/>
        </w:rPr>
        <w:t>转托管：指基金份额持有人在本基金的不同销售机构之间实施的变更所持基金份额销售机构的操作</w:t>
      </w:r>
    </w:p>
    <w:p w14:paraId="34C3F295">
      <w:pPr>
        <w:spacing w:line="360" w:lineRule="auto"/>
        <w:ind w:firstLine="480" w:firstLineChars="200"/>
        <w:rPr>
          <w:bCs/>
          <w:sz w:val="24"/>
        </w:rPr>
      </w:pPr>
      <w:r>
        <w:rPr>
          <w:rFonts w:hint="eastAsia"/>
          <w:bCs/>
          <w:sz w:val="24"/>
        </w:rPr>
        <w:t>44、</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日、扣款金额及扣款方式，由销售机构于每期约定扣款日在投资人指定银行账户内自动完成扣款及基金申购申请的一种投资方式</w:t>
      </w:r>
    </w:p>
    <w:p w14:paraId="5C3E096E">
      <w:pPr>
        <w:spacing w:line="360" w:lineRule="auto"/>
        <w:ind w:firstLine="480" w:firstLineChars="200"/>
        <w:rPr>
          <w:bCs/>
          <w:sz w:val="24"/>
        </w:rPr>
      </w:pPr>
      <w:r>
        <w:rPr>
          <w:bCs/>
          <w:sz w:val="24"/>
        </w:rPr>
        <w:t>4</w:t>
      </w:r>
      <w:r>
        <w:rPr>
          <w:rFonts w:hint="eastAsia"/>
          <w:bCs/>
          <w:sz w:val="24"/>
        </w:rPr>
        <w:t>5、</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14:paraId="52FCAFDB">
      <w:pPr>
        <w:spacing w:line="360" w:lineRule="auto"/>
        <w:ind w:firstLine="480" w:firstLineChars="200"/>
        <w:rPr>
          <w:bCs/>
          <w:sz w:val="24"/>
        </w:rPr>
      </w:pPr>
      <w:r>
        <w:rPr>
          <w:bCs/>
          <w:sz w:val="24"/>
        </w:rPr>
        <w:t>4</w:t>
      </w:r>
      <w:r>
        <w:rPr>
          <w:rFonts w:hint="eastAsia"/>
          <w:bCs/>
          <w:sz w:val="24"/>
        </w:rPr>
        <w:t>6、</w:t>
      </w:r>
      <w:r>
        <w:rPr>
          <w:bCs/>
          <w:sz w:val="24"/>
        </w:rPr>
        <w:t>元：指人民币元</w:t>
      </w:r>
    </w:p>
    <w:p w14:paraId="42F337CE">
      <w:pPr>
        <w:spacing w:line="360" w:lineRule="auto"/>
        <w:ind w:firstLine="480" w:firstLineChars="200"/>
        <w:rPr>
          <w:bCs/>
          <w:sz w:val="24"/>
        </w:rPr>
      </w:pPr>
      <w:r>
        <w:rPr>
          <w:bCs/>
          <w:sz w:val="24"/>
        </w:rPr>
        <w:t>4</w:t>
      </w:r>
      <w:r>
        <w:rPr>
          <w:rFonts w:hint="eastAsia"/>
          <w:bCs/>
          <w:sz w:val="24"/>
        </w:rPr>
        <w:t>7、</w:t>
      </w:r>
      <w:r>
        <w:rPr>
          <w:bCs/>
          <w:sz w:val="24"/>
        </w:rPr>
        <w:t>基金收益：指基金投资所得红利、股息、债券利息、买卖证券价差、银行存款利息、已实现的其他合法收入及因运用基金财产带来的成本和费用的节约</w:t>
      </w:r>
    </w:p>
    <w:p w14:paraId="07B0AC1C">
      <w:pPr>
        <w:spacing w:line="360" w:lineRule="auto"/>
        <w:ind w:firstLine="480" w:firstLineChars="200"/>
        <w:rPr>
          <w:bCs/>
          <w:sz w:val="24"/>
        </w:rPr>
      </w:pPr>
      <w:r>
        <w:rPr>
          <w:bCs/>
          <w:sz w:val="24"/>
        </w:rPr>
        <w:t>4</w:t>
      </w:r>
      <w:r>
        <w:rPr>
          <w:rFonts w:hint="eastAsia"/>
          <w:bCs/>
          <w:sz w:val="24"/>
        </w:rPr>
        <w:t>8、</w:t>
      </w:r>
      <w:r>
        <w:rPr>
          <w:bCs/>
          <w:sz w:val="24"/>
        </w:rPr>
        <w:t>基金资产总值：指基金拥有的各类有价证券、银行存款本息、基金应收款</w:t>
      </w:r>
      <w:r>
        <w:rPr>
          <w:rFonts w:hint="eastAsia"/>
          <w:bCs/>
          <w:sz w:val="24"/>
        </w:rPr>
        <w:t>项</w:t>
      </w:r>
      <w:r>
        <w:rPr>
          <w:bCs/>
          <w:sz w:val="24"/>
        </w:rPr>
        <w:t>及其他资产的价值总和</w:t>
      </w:r>
    </w:p>
    <w:p w14:paraId="1FC77295">
      <w:pPr>
        <w:spacing w:line="360" w:lineRule="auto"/>
        <w:ind w:firstLine="480" w:firstLineChars="200"/>
        <w:rPr>
          <w:bCs/>
          <w:sz w:val="24"/>
        </w:rPr>
      </w:pPr>
      <w:r>
        <w:rPr>
          <w:bCs/>
          <w:sz w:val="24"/>
        </w:rPr>
        <w:t>4</w:t>
      </w:r>
      <w:r>
        <w:rPr>
          <w:rFonts w:hint="eastAsia"/>
          <w:bCs/>
          <w:sz w:val="24"/>
        </w:rPr>
        <w:t>9、</w:t>
      </w:r>
      <w:r>
        <w:rPr>
          <w:bCs/>
          <w:sz w:val="24"/>
        </w:rPr>
        <w:t>基金资产净值：指基金资产总值减去基金负债后的价值</w:t>
      </w:r>
    </w:p>
    <w:p w14:paraId="418391C0">
      <w:pPr>
        <w:spacing w:line="360" w:lineRule="auto"/>
        <w:ind w:firstLine="480" w:firstLineChars="200"/>
        <w:rPr>
          <w:bCs/>
          <w:sz w:val="24"/>
        </w:rPr>
      </w:pPr>
      <w:r>
        <w:rPr>
          <w:rFonts w:hint="eastAsia"/>
          <w:bCs/>
          <w:sz w:val="24"/>
        </w:rPr>
        <w:t>50、</w:t>
      </w:r>
      <w:r>
        <w:rPr>
          <w:bCs/>
          <w:sz w:val="24"/>
        </w:rPr>
        <w:t>基金份额净值：指计算日基金资产净值除以计算日基金份额总数</w:t>
      </w:r>
    </w:p>
    <w:p w14:paraId="6F7B417F">
      <w:pPr>
        <w:spacing w:line="360" w:lineRule="auto"/>
        <w:ind w:firstLine="480" w:firstLineChars="200"/>
        <w:rPr>
          <w:bCs/>
          <w:sz w:val="24"/>
        </w:rPr>
      </w:pPr>
      <w:r>
        <w:rPr>
          <w:rFonts w:hint="eastAsia"/>
          <w:bCs/>
          <w:sz w:val="24"/>
        </w:rPr>
        <w:t>51、</w:t>
      </w:r>
      <w:r>
        <w:rPr>
          <w:bCs/>
          <w:sz w:val="24"/>
        </w:rPr>
        <w:t>基金资产估值：指计算评估基金资产和负债的价值，以确定基金资产净值和基金份额净值的过程</w:t>
      </w:r>
    </w:p>
    <w:p w14:paraId="668CA1AA">
      <w:pPr>
        <w:spacing w:line="360" w:lineRule="auto"/>
        <w:ind w:firstLine="480" w:firstLineChars="200"/>
        <w:rPr>
          <w:bCs/>
          <w:sz w:val="24"/>
        </w:rPr>
      </w:pPr>
      <w:r>
        <w:rPr>
          <w:rFonts w:hint="eastAsia"/>
          <w:bCs/>
          <w:sz w:val="24"/>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3C22F2C4">
      <w:pPr>
        <w:spacing w:line="360" w:lineRule="auto"/>
        <w:ind w:firstLine="480" w:firstLineChars="200"/>
        <w:rPr>
          <w:bCs/>
          <w:sz w:val="24"/>
        </w:rPr>
      </w:pPr>
      <w:r>
        <w:rPr>
          <w:rFonts w:hint="eastAsia"/>
          <w:bCs/>
          <w:sz w:val="24"/>
        </w:rPr>
        <w:t>53、A类基金份额：指在投资者申购时收取前端申购费用，不从本类别基金资产中计提销售服务费，在赎回时根据持有期限收取赎回费用的基金份额</w:t>
      </w:r>
    </w:p>
    <w:p w14:paraId="23C81449">
      <w:pPr>
        <w:spacing w:line="360" w:lineRule="auto"/>
        <w:ind w:firstLine="480" w:firstLineChars="200"/>
        <w:rPr>
          <w:bCs/>
          <w:sz w:val="24"/>
        </w:rPr>
      </w:pPr>
      <w:r>
        <w:rPr>
          <w:rFonts w:hint="eastAsia"/>
          <w:bCs/>
          <w:sz w:val="24"/>
        </w:rPr>
        <w:t>54、C类基金份额：指从本类别基金资产中计提销售服务费、不收取申购费用，在赎回时根据持有期限收取赎回费用的基金份额</w:t>
      </w:r>
    </w:p>
    <w:p w14:paraId="4DBEE825">
      <w:pPr>
        <w:spacing w:line="360" w:lineRule="auto"/>
        <w:ind w:firstLine="480" w:firstLineChars="200"/>
        <w:rPr>
          <w:bCs/>
          <w:sz w:val="24"/>
        </w:rPr>
      </w:pPr>
      <w:r>
        <w:rPr>
          <w:rFonts w:hint="eastAsia"/>
          <w:bCs/>
          <w:sz w:val="24"/>
        </w:rPr>
        <w:t>55、销售服务费：指从基金财产中计提的，用于本基金市场推广、销售以及基金份额持有人服务的费用</w:t>
      </w:r>
    </w:p>
    <w:p w14:paraId="2FDCB30D">
      <w:pPr>
        <w:spacing w:line="360" w:lineRule="auto"/>
        <w:ind w:firstLine="480" w:firstLineChars="200"/>
        <w:rPr>
          <w:bCs/>
          <w:sz w:val="24"/>
        </w:rPr>
      </w:pPr>
      <w:r>
        <w:rPr>
          <w:bCs/>
          <w:sz w:val="24"/>
        </w:rPr>
        <w:t>5</w:t>
      </w:r>
      <w:r>
        <w:rPr>
          <w:rFonts w:hint="eastAsia"/>
          <w:bCs/>
          <w:sz w:val="24"/>
        </w:rPr>
        <w:t>6、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0CDCADF">
      <w:pPr>
        <w:spacing w:line="360" w:lineRule="auto"/>
        <w:ind w:firstLine="480" w:firstLineChars="200"/>
        <w:rPr>
          <w:bCs/>
          <w:sz w:val="24"/>
        </w:rPr>
      </w:pPr>
      <w:r>
        <w:rPr>
          <w:bCs/>
          <w:sz w:val="24"/>
        </w:rPr>
        <w:t>5</w:t>
      </w:r>
      <w:r>
        <w:rPr>
          <w:rFonts w:hint="eastAsia"/>
          <w:bCs/>
          <w:sz w:val="24"/>
        </w:rPr>
        <w:t>7、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31EC9BFD">
      <w:pPr>
        <w:spacing w:line="360" w:lineRule="auto"/>
        <w:ind w:firstLine="480" w:firstLineChars="200"/>
        <w:rPr>
          <w:bCs/>
          <w:sz w:val="24"/>
        </w:rPr>
      </w:pPr>
      <w:r>
        <w:rPr>
          <w:rFonts w:hint="eastAsia"/>
          <w:bCs/>
          <w:sz w:val="24"/>
        </w:rPr>
        <w:t>58、</w:t>
      </w:r>
      <w:r>
        <w:rPr>
          <w:bCs/>
          <w:sz w:val="24"/>
        </w:rPr>
        <w:t>指定</w:t>
      </w:r>
      <w:r>
        <w:rPr>
          <w:rFonts w:hint="eastAsia"/>
          <w:bCs/>
          <w:sz w:val="24"/>
        </w:rPr>
        <w:t>媒介</w:t>
      </w:r>
      <w:r>
        <w:rPr>
          <w:bCs/>
          <w:sz w:val="24"/>
        </w:rPr>
        <w:t>：指中国证监会指定的用以进行信息披露</w:t>
      </w:r>
      <w:r>
        <w:rPr>
          <w:rFonts w:hint="eastAsia"/>
          <w:bCs/>
          <w:sz w:val="24"/>
        </w:rPr>
        <w:t>的全国性</w:t>
      </w:r>
      <w:r>
        <w:rPr>
          <w:bCs/>
          <w:sz w:val="24"/>
        </w:rPr>
        <w:t>报刊</w:t>
      </w:r>
      <w:r>
        <w:rPr>
          <w:rFonts w:hint="eastAsia"/>
          <w:bCs/>
          <w:sz w:val="24"/>
        </w:rPr>
        <w:t>及指定</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5D28FD9E">
      <w:pPr>
        <w:spacing w:line="360" w:lineRule="auto"/>
        <w:ind w:firstLine="480" w:firstLineChars="200"/>
        <w:rPr>
          <w:bCs/>
          <w:sz w:val="24"/>
        </w:rPr>
      </w:pPr>
      <w:r>
        <w:rPr>
          <w:rFonts w:hint="eastAsia"/>
          <w:bCs/>
          <w:sz w:val="24"/>
        </w:rPr>
        <w:t>59、</w:t>
      </w:r>
      <w:r>
        <w:rPr>
          <w:bCs/>
          <w:sz w:val="24"/>
        </w:rPr>
        <w:t>不可抗力：指本</w:t>
      </w:r>
      <w:r>
        <w:rPr>
          <w:rFonts w:hint="eastAsia"/>
          <w:bCs/>
          <w:sz w:val="24"/>
        </w:rPr>
        <w:t>基金</w:t>
      </w:r>
      <w:r>
        <w:rPr>
          <w:bCs/>
          <w:sz w:val="24"/>
        </w:rPr>
        <w:t>合同当事人不能预见、不能避免且不能克服的客观事件。</w:t>
      </w:r>
    </w:p>
    <w:p w14:paraId="089685E5">
      <w:pPr>
        <w:pStyle w:val="2"/>
        <w:spacing w:before="0" w:after="0"/>
        <w:jc w:val="center"/>
        <w:rPr>
          <w:rFonts w:ascii="Times New Roman"/>
          <w:color w:val="auto"/>
          <w:sz w:val="30"/>
        </w:rPr>
      </w:pPr>
      <w:r>
        <w:rPr>
          <w:rFonts w:ascii="Times New Roman"/>
          <w:b w:val="0"/>
          <w:bCs/>
          <w:color w:val="auto"/>
        </w:rPr>
        <w:br w:type="page"/>
      </w:r>
      <w:bookmarkStart w:id="60" w:name="_Toc733"/>
      <w:bookmarkStart w:id="61" w:name="_Toc24571"/>
      <w:bookmarkStart w:id="62" w:name="_Toc13288"/>
      <w:bookmarkStart w:id="63" w:name="_Toc5246"/>
      <w:bookmarkStart w:id="64" w:name="_Toc545"/>
      <w:bookmarkStart w:id="65" w:name="_Toc18631"/>
      <w:bookmarkStart w:id="66" w:name="_Toc20627"/>
      <w:bookmarkStart w:id="67" w:name="_Toc6683"/>
      <w:bookmarkStart w:id="68" w:name="_Toc20318"/>
      <w:bookmarkStart w:id="69" w:name="_Toc22708"/>
      <w:bookmarkStart w:id="70" w:name="_Toc6149"/>
      <w:bookmarkStart w:id="71" w:name="_Toc258829400"/>
      <w:bookmarkStart w:id="72" w:name="_Toc233456272"/>
      <w:r>
        <w:rPr>
          <w:rFonts w:ascii="Times New Roman"/>
          <w:color w:val="auto"/>
          <w:sz w:val="30"/>
        </w:rPr>
        <w:t>第三部分  基金的基本情况</w:t>
      </w:r>
      <w:bookmarkEnd w:id="60"/>
      <w:bookmarkEnd w:id="61"/>
      <w:bookmarkEnd w:id="62"/>
      <w:bookmarkEnd w:id="63"/>
      <w:bookmarkEnd w:id="64"/>
      <w:bookmarkEnd w:id="65"/>
      <w:bookmarkEnd w:id="66"/>
      <w:bookmarkEnd w:id="67"/>
      <w:bookmarkEnd w:id="68"/>
      <w:bookmarkEnd w:id="69"/>
      <w:bookmarkEnd w:id="70"/>
      <w:bookmarkStart w:id="73" w:name="_Toc79392573"/>
    </w:p>
    <w:p w14:paraId="119B6076">
      <w:pPr>
        <w:spacing w:line="360" w:lineRule="auto"/>
        <w:ind w:firstLine="540"/>
        <w:rPr>
          <w:bCs/>
          <w:sz w:val="24"/>
        </w:rPr>
      </w:pPr>
      <w:bookmarkStart w:id="74" w:name="_Hlt88031774"/>
      <w:bookmarkEnd w:id="74"/>
      <w:bookmarkStart w:id="75" w:name="_Hlt88031741"/>
    </w:p>
    <w:bookmarkEnd w:id="75"/>
    <w:p w14:paraId="10D0402C">
      <w:pPr>
        <w:spacing w:line="360" w:lineRule="auto"/>
        <w:ind w:firstLine="480" w:firstLineChars="200"/>
        <w:rPr>
          <w:bCs/>
          <w:sz w:val="24"/>
        </w:rPr>
      </w:pPr>
      <w:r>
        <w:rPr>
          <w:bCs/>
          <w:sz w:val="24"/>
        </w:rPr>
        <w:t>一、基金名称</w:t>
      </w:r>
      <w:bookmarkEnd w:id="73"/>
    </w:p>
    <w:p w14:paraId="203A9F65">
      <w:pPr>
        <w:spacing w:line="360" w:lineRule="auto"/>
        <w:ind w:firstLine="480" w:firstLineChars="200"/>
        <w:rPr>
          <w:bCs/>
          <w:sz w:val="24"/>
        </w:rPr>
      </w:pPr>
      <w:r>
        <w:rPr>
          <w:rFonts w:hint="eastAsia"/>
          <w:bCs/>
          <w:sz w:val="24"/>
        </w:rPr>
        <w:t>华商双翼平衡混合型</w:t>
      </w:r>
      <w:r>
        <w:rPr>
          <w:bCs/>
          <w:sz w:val="24"/>
        </w:rPr>
        <w:t>证券投资基金</w:t>
      </w:r>
    </w:p>
    <w:p w14:paraId="04019D24">
      <w:pPr>
        <w:spacing w:line="360" w:lineRule="auto"/>
        <w:ind w:firstLine="480" w:firstLineChars="200"/>
        <w:rPr>
          <w:bCs/>
          <w:sz w:val="24"/>
        </w:rPr>
      </w:pPr>
    </w:p>
    <w:p w14:paraId="4CF63170">
      <w:pPr>
        <w:spacing w:line="360" w:lineRule="auto"/>
        <w:ind w:firstLine="480" w:firstLineChars="200"/>
        <w:rPr>
          <w:bCs/>
          <w:sz w:val="24"/>
        </w:rPr>
      </w:pPr>
      <w:bookmarkStart w:id="76" w:name="_Toc79392574"/>
      <w:r>
        <w:rPr>
          <w:bCs/>
          <w:sz w:val="24"/>
        </w:rPr>
        <w:t>二、基金的类别</w:t>
      </w:r>
      <w:bookmarkEnd w:id="76"/>
    </w:p>
    <w:p w14:paraId="1BD37AD8">
      <w:pPr>
        <w:spacing w:line="360" w:lineRule="auto"/>
        <w:ind w:left="796" w:leftChars="257" w:hanging="256"/>
        <w:rPr>
          <w:bCs/>
          <w:sz w:val="24"/>
        </w:rPr>
      </w:pPr>
      <w:r>
        <w:rPr>
          <w:rFonts w:hint="eastAsia"/>
          <w:bCs/>
          <w:sz w:val="24"/>
        </w:rPr>
        <w:t>混合型</w:t>
      </w:r>
      <w:r>
        <w:rPr>
          <w:bCs/>
          <w:sz w:val="24"/>
        </w:rPr>
        <w:t>证券投资基金</w:t>
      </w:r>
    </w:p>
    <w:p w14:paraId="1B1C6C30">
      <w:pPr>
        <w:spacing w:line="360" w:lineRule="auto"/>
        <w:ind w:left="796" w:leftChars="257" w:hanging="256"/>
        <w:rPr>
          <w:bCs/>
          <w:sz w:val="24"/>
        </w:rPr>
      </w:pPr>
    </w:p>
    <w:p w14:paraId="2C6F3E5D">
      <w:pPr>
        <w:spacing w:line="360" w:lineRule="auto"/>
        <w:ind w:firstLine="480" w:firstLineChars="200"/>
        <w:rPr>
          <w:bCs/>
          <w:sz w:val="24"/>
        </w:rPr>
      </w:pPr>
      <w:bookmarkStart w:id="77" w:name="_Toc79392575"/>
      <w:r>
        <w:rPr>
          <w:bCs/>
          <w:sz w:val="24"/>
        </w:rPr>
        <w:t>三、基金的运作方式</w:t>
      </w:r>
    </w:p>
    <w:p w14:paraId="42B82FDB">
      <w:pPr>
        <w:spacing w:line="360" w:lineRule="auto"/>
        <w:ind w:left="796" w:leftChars="257" w:hanging="256"/>
        <w:rPr>
          <w:bCs/>
          <w:sz w:val="24"/>
        </w:rPr>
      </w:pPr>
      <w:r>
        <w:rPr>
          <w:bCs/>
          <w:sz w:val="24"/>
        </w:rPr>
        <w:t>契约型开放式</w:t>
      </w:r>
    </w:p>
    <w:p w14:paraId="2F10B5A2">
      <w:pPr>
        <w:spacing w:line="360" w:lineRule="auto"/>
        <w:ind w:left="796" w:leftChars="257" w:hanging="256"/>
        <w:rPr>
          <w:bCs/>
          <w:sz w:val="24"/>
        </w:rPr>
      </w:pPr>
    </w:p>
    <w:p w14:paraId="2F14CFDC">
      <w:pPr>
        <w:spacing w:line="360" w:lineRule="auto"/>
        <w:ind w:firstLine="480" w:firstLineChars="200"/>
        <w:rPr>
          <w:bCs/>
          <w:sz w:val="24"/>
        </w:rPr>
      </w:pPr>
      <w:r>
        <w:rPr>
          <w:bCs/>
          <w:sz w:val="24"/>
        </w:rPr>
        <w:t>四、基金的投资目标</w:t>
      </w:r>
      <w:bookmarkEnd w:id="77"/>
    </w:p>
    <w:p w14:paraId="4C76F3C0">
      <w:pPr>
        <w:pStyle w:val="11"/>
        <w:rPr>
          <w:rFonts w:ascii="Times New Roman" w:eastAsia="宋体"/>
          <w:bCs/>
          <w:sz w:val="24"/>
        </w:rPr>
      </w:pPr>
      <w:r>
        <w:rPr>
          <w:rFonts w:hint="eastAsia" w:ascii="Times New Roman" w:eastAsia="宋体"/>
          <w:bCs/>
          <w:sz w:val="24"/>
        </w:rPr>
        <w:t>本基金主要投资于固定收益类资产，在力争本金稳妥的基础上，适当参与股票投资，积极追求资产的长期稳定增值。</w:t>
      </w:r>
    </w:p>
    <w:p w14:paraId="0A71FBDF">
      <w:pPr>
        <w:pStyle w:val="11"/>
        <w:rPr>
          <w:rFonts w:ascii="Times New Roman" w:eastAsia="宋体"/>
          <w:bCs/>
          <w:sz w:val="24"/>
        </w:rPr>
      </w:pPr>
    </w:p>
    <w:p w14:paraId="51D85BCC">
      <w:pPr>
        <w:spacing w:line="360" w:lineRule="auto"/>
        <w:ind w:firstLine="480" w:firstLineChars="200"/>
        <w:rPr>
          <w:bCs/>
          <w:sz w:val="24"/>
        </w:rPr>
      </w:pPr>
      <w:bookmarkStart w:id="78" w:name="_Toc79392576"/>
      <w:r>
        <w:rPr>
          <w:bCs/>
          <w:sz w:val="24"/>
        </w:rPr>
        <w:t>五、基金的最低募集份额总额</w:t>
      </w:r>
      <w:bookmarkEnd w:id="78"/>
      <w:r>
        <w:rPr>
          <w:rFonts w:hint="eastAsia"/>
          <w:bCs/>
          <w:sz w:val="24"/>
        </w:rPr>
        <w:t>及金额</w:t>
      </w:r>
    </w:p>
    <w:p w14:paraId="74468D61">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，基金募集金额不少于2亿元人民币</w:t>
      </w:r>
      <w:r>
        <w:rPr>
          <w:bCs/>
          <w:sz w:val="24"/>
        </w:rPr>
        <w:t>。</w:t>
      </w:r>
    </w:p>
    <w:p w14:paraId="51AAAE22">
      <w:pPr>
        <w:spacing w:line="360" w:lineRule="auto"/>
        <w:ind w:firstLine="480" w:firstLineChars="200"/>
        <w:rPr>
          <w:bCs/>
          <w:sz w:val="24"/>
        </w:rPr>
      </w:pPr>
    </w:p>
    <w:p w14:paraId="1BE73DC6">
      <w:pPr>
        <w:spacing w:line="360" w:lineRule="auto"/>
        <w:ind w:firstLine="480" w:firstLineChars="200"/>
        <w:rPr>
          <w:bCs/>
          <w:sz w:val="24"/>
        </w:rPr>
      </w:pPr>
      <w:bookmarkStart w:id="79" w:name="_Toc79392577"/>
      <w:r>
        <w:rPr>
          <w:bCs/>
          <w:sz w:val="24"/>
        </w:rPr>
        <w:t>六、基金份额面值</w:t>
      </w:r>
      <w:bookmarkEnd w:id="79"/>
      <w:r>
        <w:rPr>
          <w:bCs/>
          <w:sz w:val="24"/>
        </w:rPr>
        <w:t>和认购费用</w:t>
      </w:r>
    </w:p>
    <w:p w14:paraId="11398C3B">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67C568DB">
      <w:pPr>
        <w:autoSpaceDE w:val="0"/>
        <w:autoSpaceDN w:val="0"/>
        <w:adjustRightInd w:val="0"/>
        <w:spacing w:line="360" w:lineRule="auto"/>
        <w:ind w:firstLine="480" w:firstLineChars="200"/>
        <w:jc w:val="left"/>
        <w:rPr>
          <w:bCs/>
          <w:sz w:val="24"/>
        </w:rPr>
      </w:pPr>
      <w:r>
        <w:rPr>
          <w:bCs/>
          <w:sz w:val="24"/>
        </w:rPr>
        <w:t>本基金认购费率按招募说明书的规定执行。</w:t>
      </w:r>
    </w:p>
    <w:p w14:paraId="1B5486F5">
      <w:pPr>
        <w:autoSpaceDE w:val="0"/>
        <w:autoSpaceDN w:val="0"/>
        <w:adjustRightInd w:val="0"/>
        <w:spacing w:line="360" w:lineRule="auto"/>
        <w:ind w:firstLine="480" w:firstLineChars="200"/>
        <w:jc w:val="left"/>
        <w:rPr>
          <w:bCs/>
          <w:sz w:val="24"/>
        </w:rPr>
      </w:pPr>
    </w:p>
    <w:p w14:paraId="14CA1FFA">
      <w:pPr>
        <w:spacing w:line="360" w:lineRule="auto"/>
        <w:ind w:firstLine="480" w:firstLineChars="200"/>
        <w:rPr>
          <w:bCs/>
          <w:sz w:val="24"/>
        </w:rPr>
      </w:pPr>
      <w:bookmarkStart w:id="80" w:name="_Toc79392578"/>
      <w:r>
        <w:rPr>
          <w:bCs/>
          <w:sz w:val="24"/>
        </w:rPr>
        <w:t>七、基金存续期限</w:t>
      </w:r>
      <w:bookmarkEnd w:id="80"/>
    </w:p>
    <w:p w14:paraId="29396B6D">
      <w:pPr>
        <w:spacing w:line="360" w:lineRule="auto"/>
        <w:ind w:firstLine="480" w:firstLineChars="200"/>
        <w:rPr>
          <w:bCs/>
          <w:sz w:val="24"/>
        </w:rPr>
      </w:pPr>
      <w:r>
        <w:rPr>
          <w:bCs/>
          <w:sz w:val="24"/>
        </w:rPr>
        <w:t>不定期</w:t>
      </w:r>
    </w:p>
    <w:p w14:paraId="1ADAF184">
      <w:pPr>
        <w:spacing w:line="360" w:lineRule="auto"/>
        <w:ind w:firstLine="480" w:firstLineChars="200"/>
        <w:rPr>
          <w:bCs/>
          <w:sz w:val="24"/>
        </w:rPr>
      </w:pPr>
    </w:p>
    <w:p w14:paraId="5C702247">
      <w:pPr>
        <w:spacing w:line="360" w:lineRule="auto"/>
        <w:ind w:firstLine="480" w:firstLineChars="200"/>
        <w:rPr>
          <w:bCs/>
          <w:sz w:val="24"/>
        </w:rPr>
      </w:pPr>
      <w:r>
        <w:rPr>
          <w:rFonts w:hint="eastAsia"/>
          <w:bCs/>
          <w:sz w:val="24"/>
        </w:rPr>
        <w:t>八、基金份额的类别</w:t>
      </w:r>
    </w:p>
    <w:p w14:paraId="54DFE904">
      <w:pPr>
        <w:spacing w:line="360" w:lineRule="auto"/>
        <w:ind w:firstLine="480" w:firstLineChars="200"/>
        <w:rPr>
          <w:bCs/>
          <w:sz w:val="24"/>
        </w:rPr>
      </w:pPr>
      <w:r>
        <w:rPr>
          <w:rFonts w:hint="eastAsia"/>
          <w:bCs/>
          <w:sz w:val="24"/>
        </w:rPr>
        <w:t>本基金根据申购费用、销售服务费用等收取方式的不同，将基金份额分为不同的类别。</w:t>
      </w:r>
    </w:p>
    <w:p w14:paraId="2CFB1585">
      <w:pPr>
        <w:spacing w:line="360" w:lineRule="auto"/>
        <w:ind w:firstLine="480" w:firstLineChars="200"/>
        <w:rPr>
          <w:bCs/>
          <w:sz w:val="24"/>
        </w:rPr>
      </w:pPr>
      <w:r>
        <w:rPr>
          <w:rFonts w:hint="eastAsia"/>
          <w:bCs/>
          <w:sz w:val="24"/>
        </w:rPr>
        <w:t>在投资者申购时收取前端申购费用，不从本类别基金资产中计提销售服务费，在赎回时根据持有期限收取赎回费用的基金份额，称为A类基金份额；从本类别基金资产中计提销售服务费、不收取申购费用，在赎回时根据持有期限收取赎回费用的基金份额，称为C类基金份额。</w:t>
      </w:r>
    </w:p>
    <w:p w14:paraId="37756BB4">
      <w:pPr>
        <w:spacing w:line="360" w:lineRule="auto"/>
        <w:ind w:firstLine="480" w:firstLineChars="200"/>
        <w:rPr>
          <w:bCs/>
          <w:sz w:val="24"/>
        </w:rPr>
      </w:pPr>
      <w:r>
        <w:rPr>
          <w:rFonts w:hint="eastAsia"/>
          <w:bCs/>
          <w:sz w:val="24"/>
        </w:rPr>
        <w:t>本基金A类基金份额和C类基金份额分别设置代码。由于基金费用的不同，本基金A类基金份额和C类基金份额将分别计算基金份额净值并单独公告，计算公式为计算日各类别基金资产净值除以计算日发售在外的该类别基金份额总数。</w:t>
      </w:r>
    </w:p>
    <w:p w14:paraId="2EB1B0CF">
      <w:pPr>
        <w:spacing w:line="360" w:lineRule="auto"/>
        <w:ind w:firstLine="480" w:firstLineChars="200"/>
        <w:rPr>
          <w:bCs/>
          <w:sz w:val="24"/>
        </w:rPr>
      </w:pPr>
      <w:r>
        <w:rPr>
          <w:rFonts w:hint="eastAsia"/>
          <w:bCs/>
          <w:sz w:val="24"/>
        </w:rPr>
        <w:t>投资者可自行选择申购的基金份额类别。本基金有关基金份额类别的具体设置、费率水平等由基金管理人确定，并在招募说明书中列示。</w:t>
      </w:r>
    </w:p>
    <w:p w14:paraId="21BA3047">
      <w:pPr>
        <w:spacing w:line="360" w:lineRule="auto"/>
        <w:ind w:firstLine="480" w:firstLineChars="200"/>
        <w:rPr>
          <w:bCs/>
          <w:sz w:val="24"/>
        </w:rPr>
      </w:pPr>
      <w:r>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7EDADB0C">
      <w:pPr>
        <w:spacing w:line="360" w:lineRule="auto"/>
        <w:ind w:left="199" w:firstLine="425"/>
        <w:rPr>
          <w:bCs/>
          <w:sz w:val="24"/>
        </w:rPr>
      </w:pPr>
    </w:p>
    <w:p w14:paraId="2D125199">
      <w:pPr>
        <w:pStyle w:val="2"/>
        <w:spacing w:before="0" w:after="0"/>
        <w:jc w:val="center"/>
        <w:rPr>
          <w:rFonts w:ascii="Times New Roman"/>
          <w:color w:val="auto"/>
          <w:sz w:val="30"/>
        </w:rPr>
      </w:pPr>
      <w:r>
        <w:rPr>
          <w:rFonts w:ascii="Times New Roman"/>
          <w:b w:val="0"/>
          <w:bCs/>
          <w:color w:val="auto"/>
          <w:kern w:val="44"/>
          <w:sz w:val="21"/>
        </w:rPr>
        <w:br w:type="page"/>
      </w:r>
      <w:bookmarkStart w:id="81" w:name="_Toc16265"/>
      <w:bookmarkStart w:id="82" w:name="_Toc90742688"/>
      <w:bookmarkStart w:id="83" w:name="_Toc6714"/>
      <w:bookmarkStart w:id="84" w:name="_Toc22074"/>
      <w:bookmarkStart w:id="85" w:name="_Toc90742321"/>
      <w:bookmarkStart w:id="86" w:name="_Toc24682"/>
      <w:bookmarkStart w:id="87" w:name="_Toc29784"/>
      <w:bookmarkStart w:id="88" w:name="_Toc29948"/>
      <w:bookmarkStart w:id="89" w:name="_Toc3266"/>
      <w:bookmarkStart w:id="90" w:name="_Toc7151"/>
      <w:bookmarkStart w:id="91" w:name="_Toc90742390"/>
      <w:bookmarkStart w:id="92" w:name="_Toc27189"/>
      <w:bookmarkStart w:id="93" w:name="_Toc15203"/>
      <w:bookmarkStart w:id="94" w:name="_Toc27226"/>
      <w:r>
        <w:rPr>
          <w:rFonts w:ascii="Times New Roman"/>
          <w:color w:val="auto"/>
          <w:sz w:val="30"/>
        </w:rPr>
        <w:t>第四部分  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2D12656">
      <w:pPr>
        <w:spacing w:line="360" w:lineRule="auto"/>
        <w:ind w:firstLine="420" w:firstLineChars="200"/>
        <w:rPr>
          <w:bCs/>
          <w:kern w:val="44"/>
        </w:rPr>
      </w:pPr>
    </w:p>
    <w:p w14:paraId="1CB87D39">
      <w:pPr>
        <w:spacing w:line="360" w:lineRule="auto"/>
        <w:ind w:firstLine="480" w:firstLineChars="200"/>
        <w:rPr>
          <w:bCs/>
          <w:sz w:val="24"/>
        </w:rPr>
      </w:pPr>
      <w:r>
        <w:rPr>
          <w:bCs/>
          <w:sz w:val="24"/>
        </w:rPr>
        <w:t>一、基金份额的发售时间、发售方式、发售对象</w:t>
      </w:r>
    </w:p>
    <w:p w14:paraId="6CA8AE39">
      <w:pPr>
        <w:spacing w:line="360" w:lineRule="auto"/>
        <w:ind w:firstLine="480" w:firstLineChars="200"/>
        <w:rPr>
          <w:bCs/>
          <w:sz w:val="24"/>
        </w:rPr>
      </w:pPr>
      <w:r>
        <w:rPr>
          <w:bCs/>
          <w:sz w:val="24"/>
        </w:rPr>
        <w:t>1、发售时间</w:t>
      </w:r>
    </w:p>
    <w:p w14:paraId="1E30BB98">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14:paraId="4E99657F">
      <w:pPr>
        <w:spacing w:line="360" w:lineRule="auto"/>
        <w:ind w:firstLine="480" w:firstLineChars="200"/>
        <w:rPr>
          <w:bCs/>
          <w:sz w:val="24"/>
        </w:rPr>
      </w:pPr>
      <w:r>
        <w:rPr>
          <w:bCs/>
          <w:sz w:val="24"/>
        </w:rPr>
        <w:t>2、发售方式</w:t>
      </w:r>
    </w:p>
    <w:p w14:paraId="6DD7AA93">
      <w:pPr>
        <w:spacing w:line="360" w:lineRule="auto"/>
        <w:ind w:firstLine="480" w:firstLineChars="20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14:paraId="05B7C9C2">
      <w:pPr>
        <w:spacing w:line="360" w:lineRule="auto"/>
        <w:ind w:firstLine="480" w:firstLineChars="200"/>
        <w:rPr>
          <w:bCs/>
          <w:sz w:val="24"/>
        </w:rPr>
      </w:pPr>
      <w:r>
        <w:rPr>
          <w:bCs/>
          <w:sz w:val="24"/>
        </w:rPr>
        <w:t>3、发售对象</w:t>
      </w:r>
    </w:p>
    <w:p w14:paraId="76C3D0CB">
      <w:pPr>
        <w:spacing w:line="360" w:lineRule="auto"/>
        <w:ind w:firstLine="480" w:firstLineChars="20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512DFA39">
      <w:pPr>
        <w:spacing w:line="360" w:lineRule="auto"/>
        <w:ind w:firstLine="480" w:firstLineChars="200"/>
        <w:rPr>
          <w:bCs/>
          <w:sz w:val="24"/>
        </w:rPr>
      </w:pPr>
      <w:r>
        <w:rPr>
          <w:bCs/>
          <w:sz w:val="24"/>
        </w:rPr>
        <w:t>二、基金份额的认购</w:t>
      </w:r>
    </w:p>
    <w:p w14:paraId="6BE54DEC">
      <w:pPr>
        <w:spacing w:line="360" w:lineRule="auto"/>
        <w:ind w:firstLine="480" w:firstLineChars="200"/>
        <w:rPr>
          <w:bCs/>
          <w:sz w:val="24"/>
        </w:rPr>
      </w:pPr>
      <w:r>
        <w:rPr>
          <w:bCs/>
          <w:sz w:val="24"/>
        </w:rPr>
        <w:t>1、认购费用</w:t>
      </w:r>
    </w:p>
    <w:p w14:paraId="56EB422E">
      <w:pPr>
        <w:spacing w:line="360" w:lineRule="auto"/>
        <w:ind w:firstLine="480" w:firstLineChars="200"/>
        <w:rPr>
          <w:bCs/>
          <w:sz w:val="24"/>
        </w:rPr>
      </w:pPr>
      <w:r>
        <w:rPr>
          <w:bCs/>
          <w:sz w:val="24"/>
        </w:rPr>
        <w:t>本基金的认购费率由基金管理人决定，并在招募说明书中列示。基金认购费用不列入基金财产。</w:t>
      </w:r>
    </w:p>
    <w:p w14:paraId="1A56CAD6">
      <w:pPr>
        <w:spacing w:line="360" w:lineRule="auto"/>
        <w:ind w:firstLine="480" w:firstLineChars="200"/>
        <w:rPr>
          <w:bCs/>
          <w:sz w:val="24"/>
        </w:rPr>
      </w:pPr>
      <w:r>
        <w:rPr>
          <w:bCs/>
          <w:sz w:val="24"/>
        </w:rPr>
        <w:t>2、募集期利息的处理方式</w:t>
      </w:r>
    </w:p>
    <w:p w14:paraId="0EB02B58">
      <w:pPr>
        <w:spacing w:line="360" w:lineRule="auto"/>
        <w:ind w:firstLine="480" w:firstLineChars="20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177B79E8">
      <w:pPr>
        <w:spacing w:line="360" w:lineRule="auto"/>
        <w:ind w:firstLine="480" w:firstLineChars="200"/>
        <w:rPr>
          <w:bCs/>
          <w:sz w:val="24"/>
        </w:rPr>
      </w:pPr>
      <w:r>
        <w:rPr>
          <w:bCs/>
          <w:sz w:val="24"/>
        </w:rPr>
        <w:t>3、基金认购份额的计算</w:t>
      </w:r>
    </w:p>
    <w:p w14:paraId="77006FD3">
      <w:pPr>
        <w:spacing w:line="360" w:lineRule="auto"/>
        <w:ind w:firstLine="480" w:firstLineChars="200"/>
        <w:rPr>
          <w:bCs/>
          <w:sz w:val="24"/>
        </w:rPr>
      </w:pPr>
      <w:r>
        <w:rPr>
          <w:bCs/>
          <w:sz w:val="24"/>
        </w:rPr>
        <w:t>基金认购份额具体的计算方法在招募说明书中列示。</w:t>
      </w:r>
    </w:p>
    <w:p w14:paraId="66CEFAD8">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14:paraId="2D7A20CA">
      <w:pPr>
        <w:spacing w:line="360" w:lineRule="auto"/>
        <w:ind w:firstLine="480" w:firstLineChars="200"/>
        <w:rPr>
          <w:bCs/>
          <w:sz w:val="24"/>
        </w:rPr>
      </w:pPr>
      <w:r>
        <w:rPr>
          <w:bCs/>
          <w:sz w:val="24"/>
        </w:rPr>
        <w:t>认购份额</w:t>
      </w:r>
      <w:bookmarkStart w:id="95" w:name="OLE_LINK1"/>
      <w:r>
        <w:rPr>
          <w:bCs/>
          <w:sz w:val="24"/>
        </w:rPr>
        <w:t>的计算</w:t>
      </w:r>
      <w:bookmarkEnd w:id="95"/>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4148A393">
      <w:pPr>
        <w:spacing w:line="360" w:lineRule="auto"/>
        <w:ind w:firstLine="480" w:firstLineChars="200"/>
        <w:rPr>
          <w:bCs/>
          <w:sz w:val="24"/>
        </w:rPr>
      </w:pPr>
      <w:r>
        <w:rPr>
          <w:rFonts w:hint="eastAsia"/>
          <w:bCs/>
          <w:sz w:val="24"/>
        </w:rPr>
        <w:t>5、认购申请的确认</w:t>
      </w:r>
    </w:p>
    <w:p w14:paraId="1AB80F1A">
      <w:pPr>
        <w:spacing w:line="360" w:lineRule="auto"/>
        <w:ind w:firstLine="480" w:firstLineChars="20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当及时查询并妥善行使合法权利。</w:t>
      </w:r>
    </w:p>
    <w:p w14:paraId="222823FA">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14:paraId="78F8E4E4">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14:paraId="7F71EC12">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07A6872">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305CBA3">
      <w:pPr>
        <w:spacing w:line="360" w:lineRule="auto"/>
        <w:ind w:firstLine="480" w:firstLineChars="200"/>
        <w:rPr>
          <w:bCs/>
          <w:sz w:val="24"/>
        </w:rPr>
      </w:pPr>
      <w:r>
        <w:rPr>
          <w:bCs/>
          <w:sz w:val="24"/>
        </w:rPr>
        <w:t>4、</w:t>
      </w:r>
      <w:r>
        <w:rPr>
          <w:rFonts w:hint="eastAsia"/>
          <w:bCs/>
          <w:sz w:val="24"/>
        </w:rPr>
        <w:t>基金投资人在基金募集期内可以多次认购基金份额，认购费按每笔认购申请单独计算，认购一经受理不得撤销</w:t>
      </w:r>
      <w:r>
        <w:rPr>
          <w:bCs/>
          <w:sz w:val="24"/>
        </w:rPr>
        <w:t>。</w:t>
      </w:r>
    </w:p>
    <w:p w14:paraId="1061E71D">
      <w:pPr>
        <w:pStyle w:val="2"/>
        <w:spacing w:before="0" w:after="0"/>
        <w:jc w:val="center"/>
        <w:rPr>
          <w:rFonts w:ascii="Times New Roman"/>
          <w:color w:val="auto"/>
          <w:sz w:val="30"/>
        </w:rPr>
      </w:pPr>
      <w:r>
        <w:rPr>
          <w:rFonts w:ascii="Times New Roman"/>
          <w:b w:val="0"/>
          <w:bCs/>
          <w:color w:val="auto"/>
          <w:kern w:val="44"/>
          <w:sz w:val="21"/>
        </w:rPr>
        <w:br w:type="page"/>
      </w:r>
      <w:bookmarkStart w:id="96" w:name="_Toc7848"/>
      <w:bookmarkStart w:id="97" w:name="_Toc14893"/>
      <w:bookmarkStart w:id="98" w:name="_Toc141703885"/>
      <w:bookmarkStart w:id="99" w:name="_Toc18526"/>
      <w:bookmarkStart w:id="100" w:name="_Toc1823"/>
      <w:bookmarkStart w:id="101" w:name="_Toc18797"/>
      <w:bookmarkStart w:id="102" w:name="_Toc21988"/>
      <w:bookmarkStart w:id="103" w:name="_Toc26986"/>
      <w:bookmarkStart w:id="104" w:name="_Toc4741"/>
      <w:bookmarkStart w:id="105" w:name="_Toc17912"/>
      <w:bookmarkStart w:id="106" w:name="_Toc139991735"/>
      <w:bookmarkStart w:id="107" w:name="_Toc6559"/>
      <w:bookmarkStart w:id="108" w:name="_Toc18329"/>
      <w:r>
        <w:rPr>
          <w:rFonts w:ascii="Times New Roman"/>
          <w:color w:val="auto"/>
          <w:sz w:val="30"/>
        </w:rPr>
        <w:t>第五部分  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16EBEE2D">
      <w:pPr>
        <w:spacing w:line="360" w:lineRule="auto"/>
        <w:ind w:firstLine="540"/>
        <w:rPr>
          <w:bCs/>
          <w:sz w:val="24"/>
        </w:rPr>
      </w:pPr>
    </w:p>
    <w:p w14:paraId="741CE606">
      <w:pPr>
        <w:spacing w:line="360" w:lineRule="auto"/>
        <w:ind w:firstLine="480" w:firstLineChars="200"/>
        <w:rPr>
          <w:bCs/>
          <w:sz w:val="24"/>
        </w:rPr>
      </w:pPr>
      <w:r>
        <w:rPr>
          <w:bCs/>
          <w:sz w:val="24"/>
        </w:rPr>
        <w:t>一、基金备案的条件</w:t>
      </w:r>
    </w:p>
    <w:p w14:paraId="13B15E6E">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基金募集期满或</w:t>
      </w:r>
      <w:r>
        <w:rPr>
          <w:bCs/>
          <w:sz w:val="24"/>
        </w:rPr>
        <w:t xml:space="preserve">基金管理人依据法律法规及招募说明书可以决定停止基金发售，并在   </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6806B52">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7A1D598">
      <w:pPr>
        <w:spacing w:line="360" w:lineRule="auto"/>
        <w:ind w:firstLine="480" w:firstLineChars="200"/>
        <w:rPr>
          <w:bCs/>
          <w:sz w:val="24"/>
        </w:rPr>
      </w:pPr>
      <w:r>
        <w:rPr>
          <w:bCs/>
          <w:sz w:val="24"/>
        </w:rPr>
        <w:t>二、基金合同不能生效时募集资金的处理方式</w:t>
      </w:r>
    </w:p>
    <w:p w14:paraId="768C19E2">
      <w:pPr>
        <w:spacing w:line="360" w:lineRule="auto"/>
        <w:ind w:firstLine="480"/>
        <w:rPr>
          <w:bCs/>
          <w:sz w:val="24"/>
        </w:rPr>
      </w:pPr>
      <w:r>
        <w:rPr>
          <w:bCs/>
          <w:sz w:val="24"/>
        </w:rPr>
        <w:t>如果募集期限届满，未满足募集生效条件，基金管理人应当承担下列责任：</w:t>
      </w:r>
    </w:p>
    <w:p w14:paraId="77C9E1FE">
      <w:pPr>
        <w:spacing w:line="360" w:lineRule="auto"/>
        <w:ind w:firstLine="480"/>
        <w:rPr>
          <w:bCs/>
          <w:sz w:val="24"/>
        </w:rPr>
      </w:pPr>
      <w:r>
        <w:rPr>
          <w:bCs/>
          <w:sz w:val="24"/>
        </w:rPr>
        <w:t>1、以其固有财产承担因募集行为而产生的债务和费用；</w:t>
      </w:r>
    </w:p>
    <w:p w14:paraId="16EFC6E3">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日内返还投资者已缴纳的款项，并加计银行同期存款利息</w:t>
      </w:r>
      <w:r>
        <w:rPr>
          <w:rFonts w:hint="eastAsia"/>
          <w:bCs/>
          <w:sz w:val="24"/>
        </w:rPr>
        <w:t>；</w:t>
      </w:r>
    </w:p>
    <w:p w14:paraId="07AD9E74">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AA46D28">
      <w:pPr>
        <w:spacing w:line="360" w:lineRule="auto"/>
        <w:ind w:firstLine="480" w:firstLineChars="200"/>
        <w:rPr>
          <w:bCs/>
          <w:sz w:val="24"/>
        </w:rPr>
      </w:pPr>
      <w:r>
        <w:rPr>
          <w:bCs/>
          <w:sz w:val="24"/>
        </w:rPr>
        <w:t>三、基金存续期内的基金份额持有人数量和资产规模</w:t>
      </w:r>
    </w:p>
    <w:p w14:paraId="00FC6709">
      <w:pPr>
        <w:spacing w:line="360" w:lineRule="auto"/>
        <w:ind w:firstLine="480" w:firstLineChars="200"/>
        <w:rPr>
          <w:bCs/>
          <w:sz w:val="24"/>
        </w:rPr>
      </w:pPr>
      <w:r>
        <w:rPr>
          <w:rFonts w:hint="eastAsia"/>
          <w:bCs/>
          <w:sz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并召开基金份额持有人大会进行表决。</w:t>
      </w:r>
    </w:p>
    <w:p w14:paraId="6E096D07">
      <w:pPr>
        <w:spacing w:line="360" w:lineRule="auto"/>
        <w:ind w:firstLine="480" w:firstLineChars="200"/>
        <w:rPr>
          <w:bCs/>
          <w:sz w:val="24"/>
        </w:rPr>
      </w:pPr>
      <w:r>
        <w:rPr>
          <w:rFonts w:hint="eastAsia"/>
          <w:bCs/>
          <w:sz w:val="24"/>
        </w:rPr>
        <w:t>法律法规或中国证监会另有规定时，从其规定。</w:t>
      </w:r>
    </w:p>
    <w:p w14:paraId="7AA89E8D">
      <w:pPr>
        <w:pStyle w:val="2"/>
        <w:spacing w:before="0" w:after="0"/>
        <w:jc w:val="center"/>
        <w:rPr>
          <w:rFonts w:ascii="Times New Roman"/>
          <w:color w:val="auto"/>
          <w:sz w:val="30"/>
        </w:rPr>
      </w:pPr>
      <w:r>
        <w:rPr>
          <w:rFonts w:ascii="Times New Roman"/>
          <w:b w:val="0"/>
          <w:bCs/>
          <w:color w:val="auto"/>
          <w:kern w:val="44"/>
          <w:sz w:val="21"/>
        </w:rPr>
        <w:br w:type="page"/>
      </w:r>
      <w:bookmarkStart w:id="109" w:name="_Toc141703886"/>
      <w:bookmarkStart w:id="110" w:name="_Toc10463"/>
      <w:bookmarkStart w:id="111" w:name="_Toc4003"/>
      <w:bookmarkStart w:id="112" w:name="_Toc123102453"/>
      <w:bookmarkStart w:id="113" w:name="_Toc23822"/>
      <w:bookmarkStart w:id="114" w:name="_Toc79392606"/>
      <w:bookmarkStart w:id="115" w:name="_Toc23261"/>
      <w:bookmarkStart w:id="116" w:name="_Toc20733"/>
      <w:bookmarkStart w:id="117" w:name="_Toc123051452"/>
      <w:bookmarkStart w:id="118" w:name="_Toc123112234"/>
      <w:bookmarkStart w:id="119" w:name="_Toc7920"/>
      <w:bookmarkStart w:id="120" w:name="_Toc1427"/>
      <w:bookmarkStart w:id="121" w:name="_Toc17244"/>
      <w:bookmarkStart w:id="122" w:name="_Toc98560352"/>
      <w:bookmarkStart w:id="123" w:name="_Toc1270"/>
      <w:bookmarkStart w:id="124" w:name="_Toc139991736"/>
      <w:bookmarkStart w:id="125" w:name="_Toc48649707"/>
      <w:bookmarkStart w:id="126" w:name="_Toc11081"/>
      <w:bookmarkStart w:id="127" w:name="_Toc610"/>
      <w:r>
        <w:rPr>
          <w:rFonts w:ascii="Times New Roman"/>
          <w:color w:val="auto"/>
          <w:sz w:val="30"/>
        </w:rPr>
        <w:t>第六部分  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1D77A17">
      <w:pPr>
        <w:spacing w:line="360" w:lineRule="auto"/>
        <w:ind w:firstLine="540"/>
        <w:rPr>
          <w:bCs/>
          <w:sz w:val="24"/>
        </w:rPr>
      </w:pPr>
    </w:p>
    <w:p w14:paraId="3273895E">
      <w:pPr>
        <w:spacing w:line="360" w:lineRule="auto"/>
        <w:ind w:firstLine="480" w:firstLineChars="200"/>
        <w:rPr>
          <w:bCs/>
          <w:sz w:val="24"/>
        </w:rPr>
      </w:pPr>
      <w:r>
        <w:rPr>
          <w:bCs/>
          <w:sz w:val="24"/>
        </w:rPr>
        <w:t>一、申购和赎回场所</w:t>
      </w:r>
    </w:p>
    <w:p w14:paraId="156999CB">
      <w:pPr>
        <w:spacing w:line="360" w:lineRule="auto"/>
        <w:ind w:firstLine="480" w:firstLineChars="20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，并在管理人网站公示</w:t>
      </w:r>
      <w:r>
        <w:rPr>
          <w:bCs/>
          <w:sz w:val="24"/>
        </w:rPr>
        <w:t>。基金投资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14:paraId="0F3DAE88">
      <w:pPr>
        <w:spacing w:line="360" w:lineRule="auto"/>
        <w:ind w:firstLine="480" w:firstLineChars="200"/>
        <w:rPr>
          <w:bCs/>
          <w:sz w:val="24"/>
        </w:rPr>
      </w:pPr>
      <w:r>
        <w:rPr>
          <w:bCs/>
          <w:sz w:val="24"/>
        </w:rPr>
        <w:t>二、申购和赎回的开放日及时间</w:t>
      </w:r>
    </w:p>
    <w:p w14:paraId="4C5D4A35">
      <w:pPr>
        <w:spacing w:line="360" w:lineRule="auto"/>
        <w:ind w:firstLine="480" w:firstLineChars="200"/>
        <w:rPr>
          <w:bCs/>
          <w:sz w:val="24"/>
        </w:rPr>
      </w:pPr>
      <w:r>
        <w:rPr>
          <w:bCs/>
          <w:sz w:val="24"/>
        </w:rPr>
        <w:t>1</w:t>
      </w:r>
      <w:r>
        <w:rPr>
          <w:rFonts w:hint="eastAsia"/>
          <w:bCs/>
          <w:sz w:val="24"/>
        </w:rPr>
        <w:t>、</w:t>
      </w:r>
      <w:r>
        <w:rPr>
          <w:bCs/>
          <w:sz w:val="24"/>
        </w:rPr>
        <w:t>开放日及开放时间</w:t>
      </w:r>
    </w:p>
    <w:p w14:paraId="31F4B2F0">
      <w:pPr>
        <w:spacing w:line="360" w:lineRule="auto"/>
        <w:ind w:firstLine="480" w:firstLineChars="200"/>
        <w:rPr>
          <w:bCs/>
          <w:sz w:val="24"/>
        </w:rPr>
      </w:pPr>
      <w:r>
        <w:rPr>
          <w:bCs/>
          <w:sz w:val="24"/>
        </w:rPr>
        <w:t>投资人在开放日办理基金份额的申购和赎回，具体办理时间为上海证券交易所、深圳证券交易所</w:t>
      </w:r>
      <w:r>
        <w:rPr>
          <w:rFonts w:hint="eastAsia"/>
          <w:bCs/>
          <w:sz w:val="24"/>
        </w:rPr>
        <w:t>及相关期货交易所</w:t>
      </w:r>
      <w:r>
        <w:rPr>
          <w:bCs/>
          <w:sz w:val="24"/>
        </w:rPr>
        <w:t>的正常交易日的交易时间，但基金管理人根据法律法规、中国证监会的要求或本基金合同的规定公告暂停申购、赎回时除外。</w:t>
      </w:r>
    </w:p>
    <w:p w14:paraId="1381794E">
      <w:pPr>
        <w:spacing w:line="360" w:lineRule="auto"/>
        <w:ind w:firstLine="480" w:firstLineChars="200"/>
        <w:rPr>
          <w:bCs/>
          <w:sz w:val="24"/>
        </w:rPr>
      </w:pPr>
      <w:r>
        <w:rPr>
          <w:bCs/>
          <w:sz w:val="24"/>
        </w:rPr>
        <w:t>基金合同生效后，若出现新的证券</w:t>
      </w:r>
      <w:r>
        <w:rPr>
          <w:rFonts w:hint="eastAsia"/>
          <w:bCs/>
          <w:sz w:val="24"/>
        </w:rPr>
        <w:t>、期货</w:t>
      </w:r>
      <w:r>
        <w:rPr>
          <w:bCs/>
          <w:sz w:val="24"/>
        </w:rPr>
        <w:t>交易市场、证券</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69177030">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14:paraId="4337CCE3">
      <w:pPr>
        <w:spacing w:line="360" w:lineRule="auto"/>
        <w:ind w:firstLine="480" w:firstLineChars="200"/>
        <w:rPr>
          <w:bCs/>
          <w:sz w:val="24"/>
        </w:rPr>
      </w:pPr>
      <w:r>
        <w:rPr>
          <w:bCs/>
          <w:sz w:val="24"/>
        </w:rPr>
        <w:t>基金管理人自基金合同生效之日起不超过</w:t>
      </w:r>
      <w:r>
        <w:rPr>
          <w:rFonts w:hint="eastAsia" w:ascii="宋体" w:hAnsi="宋体"/>
          <w:sz w:val="24"/>
        </w:rPr>
        <w:t>3个月</w:t>
      </w:r>
      <w:r>
        <w:rPr>
          <w:bCs/>
          <w:sz w:val="24"/>
        </w:rPr>
        <w:t>开始办理申购，具体业务办理时间在申购开始公告中规定。</w:t>
      </w:r>
    </w:p>
    <w:p w14:paraId="4EBBE613">
      <w:pPr>
        <w:spacing w:line="360" w:lineRule="auto"/>
        <w:ind w:firstLine="480" w:firstLineChars="200"/>
        <w:rPr>
          <w:bCs/>
          <w:sz w:val="24"/>
        </w:rPr>
      </w:pPr>
      <w:r>
        <w:rPr>
          <w:bCs/>
          <w:sz w:val="24"/>
        </w:rPr>
        <w:t>基金管理人自基金合同生效之日起不超过</w:t>
      </w:r>
      <w:r>
        <w:rPr>
          <w:rFonts w:hint="eastAsia" w:ascii="宋体" w:hAnsi="宋体"/>
          <w:sz w:val="24"/>
        </w:rPr>
        <w:t>3个月</w:t>
      </w:r>
      <w:r>
        <w:rPr>
          <w:bCs/>
          <w:sz w:val="24"/>
        </w:rPr>
        <w:t>开始办理赎回，具体业务办理时间在赎回开始公告中规定。</w:t>
      </w:r>
    </w:p>
    <w:p w14:paraId="197636EE">
      <w:pPr>
        <w:spacing w:line="360" w:lineRule="auto"/>
        <w:ind w:firstLine="480" w:firstLineChars="200"/>
        <w:rPr>
          <w:bCs/>
          <w:sz w:val="24"/>
        </w:rPr>
      </w:pPr>
      <w:r>
        <w:rPr>
          <w:bCs/>
          <w:sz w:val="24"/>
        </w:rPr>
        <w:t>在确定申购开始与赎回开始时间后，基金管理人应在申购、赎回开放日前依照《信息披露办法》的有关规定在指定媒介上公告申购与赎回的开始时间。</w:t>
      </w:r>
    </w:p>
    <w:p w14:paraId="6725FBA3">
      <w:pPr>
        <w:spacing w:line="360" w:lineRule="auto"/>
        <w:ind w:firstLine="480" w:firstLineChars="20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w:t>
      </w:r>
      <w:r>
        <w:rPr>
          <w:rFonts w:hint="eastAsia"/>
          <w:bCs/>
          <w:sz w:val="24"/>
        </w:rPr>
        <w:t>该类</w:t>
      </w:r>
      <w:r>
        <w:rPr>
          <w:bCs/>
          <w:sz w:val="24"/>
        </w:rPr>
        <w:t>基金份额申购、赎回</w:t>
      </w:r>
      <w:r>
        <w:rPr>
          <w:rFonts w:hint="eastAsia"/>
          <w:bCs/>
          <w:sz w:val="24"/>
        </w:rPr>
        <w:t>或转换</w:t>
      </w:r>
      <w:r>
        <w:rPr>
          <w:bCs/>
          <w:sz w:val="24"/>
        </w:rPr>
        <w:t>的价格。</w:t>
      </w:r>
    </w:p>
    <w:p w14:paraId="37337861">
      <w:pPr>
        <w:spacing w:line="360" w:lineRule="auto"/>
        <w:ind w:firstLine="480" w:firstLineChars="200"/>
        <w:rPr>
          <w:bCs/>
          <w:sz w:val="24"/>
        </w:rPr>
      </w:pPr>
      <w:r>
        <w:rPr>
          <w:bCs/>
          <w:sz w:val="24"/>
        </w:rPr>
        <w:t>三、申购与赎回的原则</w:t>
      </w:r>
    </w:p>
    <w:p w14:paraId="4C9DE4C0">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w:t>
      </w:r>
      <w:r>
        <w:rPr>
          <w:rFonts w:hint="eastAsia"/>
          <w:bCs/>
          <w:sz w:val="24"/>
        </w:rPr>
        <w:t>该类</w:t>
      </w:r>
      <w:r>
        <w:rPr>
          <w:bCs/>
          <w:sz w:val="24"/>
        </w:rPr>
        <w:t>基金份额净值为基准进行计算；</w:t>
      </w:r>
    </w:p>
    <w:p w14:paraId="605D667A">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14:paraId="7A313028">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14:paraId="4C116691">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p>
    <w:p w14:paraId="5298A237">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基金管理人可在法律法规允许的情况下，对上述原则进行调整。基金管理人必须在新规则开始实施前依照《信息披露办法》的有关规定在指定媒介上公告。</w:t>
      </w:r>
    </w:p>
    <w:p w14:paraId="4493F424">
      <w:pPr>
        <w:spacing w:line="360" w:lineRule="auto"/>
        <w:ind w:firstLine="480" w:firstLineChars="200"/>
        <w:rPr>
          <w:bCs/>
          <w:sz w:val="24"/>
        </w:rPr>
      </w:pPr>
      <w:r>
        <w:rPr>
          <w:bCs/>
          <w:sz w:val="24"/>
        </w:rPr>
        <w:t>四、申购与赎回的程序</w:t>
      </w:r>
    </w:p>
    <w:p w14:paraId="7B09F2F3">
      <w:pPr>
        <w:spacing w:line="360" w:lineRule="auto"/>
        <w:ind w:firstLine="480" w:firstLineChars="200"/>
        <w:rPr>
          <w:bCs/>
          <w:sz w:val="24"/>
        </w:rPr>
      </w:pPr>
      <w:r>
        <w:rPr>
          <w:bCs/>
          <w:sz w:val="24"/>
        </w:rPr>
        <w:t>1</w:t>
      </w:r>
      <w:r>
        <w:rPr>
          <w:rFonts w:hint="eastAsia"/>
          <w:bCs/>
          <w:sz w:val="24"/>
        </w:rPr>
        <w:t>、</w:t>
      </w:r>
      <w:r>
        <w:rPr>
          <w:bCs/>
          <w:sz w:val="24"/>
        </w:rPr>
        <w:t>申购和赎回的申请方式</w:t>
      </w:r>
    </w:p>
    <w:p w14:paraId="47BA475E">
      <w:pPr>
        <w:spacing w:line="360" w:lineRule="auto"/>
        <w:ind w:firstLine="480" w:firstLineChars="200"/>
        <w:rPr>
          <w:bCs/>
          <w:sz w:val="24"/>
        </w:rPr>
      </w:pPr>
      <w:r>
        <w:rPr>
          <w:bCs/>
          <w:sz w:val="24"/>
        </w:rPr>
        <w:t>投资人必须根据销售机构规定的程序，在开放日的具体业务办理时间内提出申购或赎回的申请。</w:t>
      </w:r>
    </w:p>
    <w:p w14:paraId="5050BAFD">
      <w:pPr>
        <w:spacing w:line="360" w:lineRule="auto"/>
        <w:ind w:firstLine="480" w:firstLineChars="200"/>
        <w:rPr>
          <w:bCs/>
          <w:sz w:val="24"/>
        </w:rPr>
      </w:pPr>
      <w:r>
        <w:rPr>
          <w:bCs/>
          <w:sz w:val="24"/>
        </w:rPr>
        <w:t>2</w:t>
      </w:r>
      <w:r>
        <w:rPr>
          <w:rFonts w:hint="eastAsia"/>
          <w:bCs/>
          <w:sz w:val="24"/>
        </w:rPr>
        <w:t>、</w:t>
      </w:r>
      <w:r>
        <w:rPr>
          <w:bCs/>
          <w:sz w:val="24"/>
        </w:rPr>
        <w:t>申购和赎回的款项支付</w:t>
      </w:r>
    </w:p>
    <w:p w14:paraId="44224D95">
      <w:pPr>
        <w:spacing w:line="360" w:lineRule="auto"/>
        <w:ind w:firstLine="480" w:firstLineChars="20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成立，登记机构确认基金份额时，申购生效</w:t>
      </w:r>
      <w:r>
        <w:rPr>
          <w:bCs/>
          <w:sz w:val="24"/>
          <w:lang w:val="zh-CN"/>
        </w:rPr>
        <w:t>。</w:t>
      </w:r>
    </w:p>
    <w:p w14:paraId="73072684">
      <w:pPr>
        <w:spacing w:line="360" w:lineRule="auto"/>
        <w:ind w:firstLine="480" w:firstLineChars="200"/>
        <w:rPr>
          <w:bCs/>
          <w:sz w:val="24"/>
          <w:shd w:val="pct10" w:color="auto" w:fill="FFFFFF"/>
        </w:rPr>
      </w:pPr>
      <w:r>
        <w:rPr>
          <w:rFonts w:hint="eastAsia"/>
          <w:bCs/>
          <w:sz w:val="24"/>
        </w:rPr>
        <w:t>基金份额持有人递交赎回申请，赎回成立；基金份额登记机构确认赎回时，赎回生效。</w:t>
      </w:r>
      <w:r>
        <w:rPr>
          <w:bCs/>
          <w:sz w:val="24"/>
        </w:rPr>
        <w:t>投资人赎回申请</w:t>
      </w:r>
      <w:r>
        <w:rPr>
          <w:rFonts w:hint="eastAsia"/>
          <w:bCs/>
          <w:sz w:val="24"/>
        </w:rPr>
        <w:t>生效</w:t>
      </w:r>
      <w:r>
        <w:rPr>
          <w:bCs/>
          <w:sz w:val="24"/>
        </w:rPr>
        <w:t>后，基金管理人将在T＋</w:t>
      </w:r>
      <w:r>
        <w:rPr>
          <w:rFonts w:hint="eastAsia"/>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745D8A8A">
      <w:pPr>
        <w:spacing w:line="360" w:lineRule="auto"/>
        <w:ind w:firstLine="480" w:firstLineChars="200"/>
        <w:rPr>
          <w:bCs/>
          <w:sz w:val="24"/>
          <w:shd w:val="pct10" w:color="auto" w:fill="FFFFFF"/>
        </w:rPr>
      </w:pPr>
      <w:r>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14:paraId="4398C240">
      <w:pPr>
        <w:spacing w:line="360" w:lineRule="auto"/>
        <w:ind w:firstLine="480" w:firstLineChars="200"/>
        <w:rPr>
          <w:bCs/>
          <w:sz w:val="24"/>
        </w:rPr>
      </w:pPr>
      <w:r>
        <w:rPr>
          <w:bCs/>
          <w:sz w:val="24"/>
          <w:lang w:val="zh-CN"/>
        </w:rPr>
        <w:t>基金管理人可以在法律法规和基金合同允许的范围内，对上述业务办理时间进行调整，基金管理人必须在调整前依照《信息披露办法》的有关规定在指定媒介上公告。</w:t>
      </w:r>
    </w:p>
    <w:p w14:paraId="5660DD4D">
      <w:pPr>
        <w:spacing w:line="360" w:lineRule="auto"/>
        <w:ind w:firstLine="480" w:firstLineChars="200"/>
        <w:rPr>
          <w:bCs/>
          <w:sz w:val="24"/>
        </w:rPr>
      </w:pPr>
      <w:r>
        <w:rPr>
          <w:bCs/>
          <w:sz w:val="24"/>
        </w:rPr>
        <w:t>3</w:t>
      </w:r>
      <w:r>
        <w:rPr>
          <w:rFonts w:hint="eastAsia"/>
          <w:bCs/>
          <w:sz w:val="24"/>
        </w:rPr>
        <w:t>、</w:t>
      </w:r>
      <w:r>
        <w:rPr>
          <w:bCs/>
          <w:sz w:val="24"/>
        </w:rPr>
        <w:t>申购和赎回申请的确认</w:t>
      </w:r>
    </w:p>
    <w:p w14:paraId="5D16BAD2">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申购和赎回申请的当天作为申购或赎回申请日(T日)，在正常情况下，本基金登记机构在T+</w:t>
      </w:r>
      <w:r>
        <w:rPr>
          <w:rFonts w:hint="eastAsia"/>
          <w:bCs/>
          <w:sz w:val="24"/>
        </w:rPr>
        <w:t>1</w:t>
      </w:r>
      <w:r>
        <w:rPr>
          <w:bCs/>
          <w:sz w:val="24"/>
        </w:rPr>
        <w:t>日内对该交易的有效性进行确认。T日提交的有效申请，投资人</w:t>
      </w:r>
      <w:r>
        <w:rPr>
          <w:rFonts w:hint="eastAsia"/>
          <w:bCs/>
          <w:sz w:val="24"/>
        </w:rPr>
        <w:t>可</w:t>
      </w:r>
      <w:r>
        <w:rPr>
          <w:bCs/>
          <w:sz w:val="24"/>
        </w:rPr>
        <w:t>在T+</w:t>
      </w:r>
      <w:r>
        <w:rPr>
          <w:rFonts w:hint="eastAsia"/>
          <w:bCs/>
          <w:sz w:val="24"/>
        </w:rPr>
        <w:t>2</w:t>
      </w:r>
      <w:r>
        <w:rPr>
          <w:bCs/>
          <w:sz w:val="24"/>
        </w:rPr>
        <w:t>日后(包括该日)到销售网点柜台或以销售机构规定的其他方式查询申请的确认情况。若申购不成功，则申购款项</w:t>
      </w:r>
      <w:r>
        <w:rPr>
          <w:rFonts w:hint="eastAsia"/>
          <w:bCs/>
          <w:sz w:val="24"/>
        </w:rPr>
        <w:t>本金</w:t>
      </w:r>
      <w:r>
        <w:rPr>
          <w:bCs/>
          <w:sz w:val="24"/>
        </w:rPr>
        <w:t>退还给投资人。</w:t>
      </w:r>
    </w:p>
    <w:p w14:paraId="4C0A010D">
      <w:pPr>
        <w:spacing w:line="360" w:lineRule="auto"/>
        <w:ind w:firstLine="480" w:firstLineChars="200"/>
        <w:rPr>
          <w:bCs/>
          <w:sz w:val="24"/>
        </w:rPr>
      </w:pPr>
      <w:r>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14:paraId="36D725BE">
      <w:pPr>
        <w:spacing w:line="360" w:lineRule="auto"/>
        <w:ind w:firstLine="480" w:firstLineChars="200"/>
        <w:rPr>
          <w:bCs/>
          <w:sz w:val="24"/>
        </w:rPr>
      </w:pPr>
      <w:r>
        <w:rPr>
          <w:bCs/>
          <w:sz w:val="24"/>
        </w:rPr>
        <w:t>五、申购和赎回的数量限制</w:t>
      </w:r>
    </w:p>
    <w:p w14:paraId="76CFB194">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18DC6684">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A559138">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FB1052F">
      <w:pPr>
        <w:spacing w:line="360" w:lineRule="auto"/>
        <w:ind w:firstLine="480" w:firstLineChars="20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，具体规定请参见招募说明书</w:t>
      </w:r>
      <w:r>
        <w:rPr>
          <w:rFonts w:hint="eastAsia"/>
          <w:bCs/>
          <w:sz w:val="24"/>
        </w:rPr>
        <w:t>或相关公告</w:t>
      </w:r>
      <w:r>
        <w:rPr>
          <w:bCs/>
          <w:sz w:val="24"/>
        </w:rPr>
        <w:t>。</w:t>
      </w:r>
    </w:p>
    <w:p w14:paraId="6520AEDE">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基金管理人可在法律法规允许的情况下，调整上述规定申购金额和赎回份额的数量限制。基金管理人必须在调整前依照《信息披露办法》的有关规定在指定媒介上公告。</w:t>
      </w:r>
    </w:p>
    <w:p w14:paraId="31E16FD6">
      <w:pPr>
        <w:spacing w:line="360" w:lineRule="auto"/>
        <w:ind w:firstLine="480" w:firstLineChars="200"/>
        <w:rPr>
          <w:bCs/>
          <w:sz w:val="24"/>
        </w:rPr>
      </w:pPr>
      <w:r>
        <w:rPr>
          <w:bCs/>
          <w:sz w:val="24"/>
        </w:rPr>
        <w:t>六、申购和赎回的价格、费用及其用途</w:t>
      </w:r>
    </w:p>
    <w:p w14:paraId="308C41E1">
      <w:pPr>
        <w:spacing w:line="360" w:lineRule="auto"/>
        <w:ind w:firstLine="480" w:firstLineChars="200"/>
        <w:rPr>
          <w:bCs/>
          <w:sz w:val="24"/>
        </w:rPr>
      </w:pPr>
      <w:r>
        <w:rPr>
          <w:bCs/>
          <w:sz w:val="24"/>
        </w:rPr>
        <w:t>1</w:t>
      </w:r>
      <w:r>
        <w:rPr>
          <w:rFonts w:hint="eastAsia"/>
          <w:bCs/>
          <w:sz w:val="24"/>
        </w:rPr>
        <w:t>、本基金分为A类和C类两类基金份额，两类基金份额单独设置基金代码，分别计算和公告基金份额净值。本基金两类基金份额净值的计算，均</w:t>
      </w:r>
      <w:r>
        <w:rPr>
          <w:bCs/>
          <w:sz w:val="24"/>
        </w:rPr>
        <w:t>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位四舍五入，由此产生的收益或损失由基金财产承担。T日的</w:t>
      </w:r>
      <w:r>
        <w:rPr>
          <w:rFonts w:hint="eastAsia"/>
          <w:bCs/>
          <w:sz w:val="24"/>
        </w:rPr>
        <w:t>各类</w:t>
      </w:r>
      <w:r>
        <w:rPr>
          <w:bCs/>
          <w:sz w:val="24"/>
        </w:rPr>
        <w:t>基金份额净值在当天收市后计算，并在T+</w:t>
      </w:r>
      <w:r>
        <w:rPr>
          <w:rFonts w:hint="eastAsia"/>
          <w:bCs/>
          <w:sz w:val="24"/>
        </w:rPr>
        <w:t>1</w:t>
      </w:r>
      <w:r>
        <w:rPr>
          <w:bCs/>
          <w:sz w:val="24"/>
        </w:rPr>
        <w:t>日内公告。遇特殊情况，经中国证监会同意，可以适当延迟计算或公告。</w:t>
      </w:r>
    </w:p>
    <w:p w14:paraId="0FC8261D">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w:t>
      </w:r>
      <w:r>
        <w:rPr>
          <w:rFonts w:hint="eastAsia"/>
          <w:bCs/>
          <w:sz w:val="24"/>
        </w:rPr>
        <w:t>A类基金份额的</w:t>
      </w:r>
      <w:r>
        <w:rPr>
          <w:bCs/>
          <w:sz w:val="24"/>
        </w:rPr>
        <w:t>申购份额的计算详见招募说明书。本基金的申购费率由基金管理人决定，并在招募说明书中列示。申购的有效份额为净申购金额除以当日的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0C6AE40E">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7BBBA56E">
      <w:pPr>
        <w:spacing w:line="360" w:lineRule="auto"/>
        <w:ind w:firstLine="480" w:firstLineChars="200"/>
        <w:rPr>
          <w:bCs/>
          <w:sz w:val="24"/>
        </w:rPr>
      </w:pPr>
      <w:r>
        <w:rPr>
          <w:rFonts w:hint="eastAsia"/>
          <w:bCs/>
          <w:sz w:val="24"/>
        </w:rPr>
        <w:t>4、申购费用由申购A类基金份额的投资人承担，不列入基金财产。C类基金份额不收取申购费用。</w:t>
      </w:r>
    </w:p>
    <w:p w14:paraId="1D00D0E8">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赎回费用应根据相关规定按照比例归入基金财产，</w:t>
      </w:r>
      <w:r>
        <w:rPr>
          <w:bCs/>
          <w:sz w:val="24"/>
        </w:rPr>
        <w:t>其余用于支付登记费和其他必要的手续费。</w:t>
      </w:r>
    </w:p>
    <w:p w14:paraId="435B1B77">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w:t>
      </w:r>
      <w:r>
        <w:rPr>
          <w:rFonts w:hint="eastAsia"/>
          <w:bCs/>
          <w:sz w:val="24"/>
        </w:rPr>
        <w:t>，对持续持有期少于7日的投资者，本基金收取不低于1.5%的赎回费，并将上述赎回费全额计入基金财产</w:t>
      </w:r>
      <w:r>
        <w:rPr>
          <w:bCs/>
          <w:sz w:val="24"/>
        </w:rPr>
        <w:t>。基金管理人可以在基金合同约定的范围内调整费率或收费方式，并最迟应于新的费率或收费方式实施日前依照《信息披露办法》的有关规定在指定媒介上公告。</w:t>
      </w:r>
    </w:p>
    <w:p w14:paraId="19396D23">
      <w:pPr>
        <w:spacing w:line="360" w:lineRule="auto"/>
        <w:ind w:firstLine="480" w:firstLineChars="200"/>
        <w:rPr>
          <w:bCs/>
          <w:sz w:val="24"/>
        </w:rPr>
      </w:pPr>
      <w:r>
        <w:rPr>
          <w:bCs/>
          <w:sz w:val="24"/>
        </w:rPr>
        <w:t>7、</w:t>
      </w:r>
      <w:r>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基金管理人可以在不违反法律法规规定及基金合同约定的情形下根据市场情况开展基金促销活动。在基金促销活动期间，按相关监管部门要求履行必要手续后，基金管理人可以适当调低销售费率。</w:t>
      </w:r>
    </w:p>
    <w:p w14:paraId="4B1CA770">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14:paraId="255057B8">
      <w:pPr>
        <w:spacing w:line="360" w:lineRule="auto"/>
        <w:ind w:firstLine="480" w:firstLineChars="200"/>
        <w:rPr>
          <w:bCs/>
          <w:sz w:val="24"/>
        </w:rPr>
      </w:pPr>
      <w:r>
        <w:rPr>
          <w:bCs/>
          <w:sz w:val="24"/>
        </w:rPr>
        <w:t>发生下列情况时，基金管理人可拒绝或暂停接受投资人的申购申请：</w:t>
      </w:r>
    </w:p>
    <w:p w14:paraId="1641F421">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14:paraId="7B3F57FF">
      <w:pPr>
        <w:spacing w:line="360" w:lineRule="auto"/>
        <w:ind w:firstLine="480" w:firstLineChars="200"/>
        <w:rPr>
          <w:bCs/>
          <w:sz w:val="24"/>
        </w:rPr>
      </w:pPr>
      <w:r>
        <w:rPr>
          <w:rFonts w:hint="eastAsia"/>
          <w:bCs/>
          <w:sz w:val="24"/>
        </w:rPr>
        <w:t>2、发生基金合同规定的暂停基金资产估值情况时，基金管理人可暂停接受投资人的申购申请。当特定资产占前一估值日基金资产净值50%以上时，经与基金托管人协商确认后，基金管理人应当暂停接受基金申购申请。</w:t>
      </w:r>
    </w:p>
    <w:p w14:paraId="481FD2D0">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p w14:paraId="07E7551A">
      <w:pPr>
        <w:spacing w:line="360" w:lineRule="auto"/>
        <w:ind w:firstLine="480" w:firstLineChars="200"/>
        <w:rPr>
          <w:bCs/>
          <w:sz w:val="24"/>
        </w:rPr>
      </w:pPr>
      <w:bookmarkStart w:id="128" w:name="_Hlt70481650"/>
      <w:bookmarkEnd w:id="128"/>
      <w:r>
        <w:rPr>
          <w:rFonts w:hint="eastAsia"/>
          <w:bCs/>
          <w:sz w:val="24"/>
        </w:rPr>
        <w:t>4、</w:t>
      </w:r>
      <w:r>
        <w:rPr>
          <w:bCs/>
          <w:sz w:val="24"/>
        </w:rPr>
        <w:t>基金管理人认为接受某笔或某些申购申请可能会影响或损害现有基金份额持有人利益时。</w:t>
      </w:r>
    </w:p>
    <w:p w14:paraId="50B86A43">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基金资产规模过大，使基金管理人无法找到合适的投资品种，或其他可能对基金业绩产生负面影响，从而损害现有基金份额持有人利益的情形。</w:t>
      </w:r>
    </w:p>
    <w:p w14:paraId="4DD15F6F">
      <w:pPr>
        <w:spacing w:line="360" w:lineRule="auto"/>
        <w:ind w:firstLine="480" w:firstLineChars="200"/>
        <w:rPr>
          <w:bCs/>
          <w:sz w:val="24"/>
        </w:rPr>
      </w:pPr>
      <w:r>
        <w:rPr>
          <w:rFonts w:hint="eastAsia"/>
          <w:bCs/>
          <w:sz w:val="24"/>
        </w:rPr>
        <w:t>6、基金管理人接受某笔或者某些申购申请有可能导致单一投资者持有基金份额的比例达到或者超过50%，或者变相规避50%集中度的情形时。</w:t>
      </w:r>
    </w:p>
    <w:p w14:paraId="74471005">
      <w:pPr>
        <w:spacing w:line="360" w:lineRule="auto"/>
        <w:ind w:firstLine="480" w:firstLineChars="200"/>
        <w:rPr>
          <w:bCs/>
          <w:sz w:val="24"/>
        </w:rPr>
      </w:pPr>
      <w:r>
        <w:rPr>
          <w:rFonts w:hint="eastAsia"/>
          <w:bCs/>
          <w:sz w:val="24"/>
        </w:rPr>
        <w:t>7、</w:t>
      </w:r>
      <w:r>
        <w:rPr>
          <w:bCs/>
          <w:sz w:val="24"/>
        </w:rPr>
        <w:t>法律法规规定或中国证监会认定的其他情形。</w:t>
      </w:r>
    </w:p>
    <w:p w14:paraId="653E82D4">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、7</w:t>
      </w:r>
      <w:r>
        <w:rPr>
          <w:bCs/>
          <w:sz w:val="24"/>
        </w:rPr>
        <w:t>项暂停申购情形</w:t>
      </w:r>
      <w:r>
        <w:rPr>
          <w:rFonts w:hint="eastAsia"/>
          <w:bCs/>
          <w:sz w:val="24"/>
        </w:rPr>
        <w:t>之一且基金管理人决定暂停投资者的申购申请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2A2DF854">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14:paraId="409C64EA">
      <w:pPr>
        <w:spacing w:line="360" w:lineRule="auto"/>
        <w:ind w:firstLine="480" w:firstLineChars="200"/>
        <w:rPr>
          <w:bCs/>
          <w:sz w:val="24"/>
        </w:rPr>
      </w:pPr>
      <w:r>
        <w:rPr>
          <w:bCs/>
          <w:sz w:val="24"/>
        </w:rPr>
        <w:t>发生下列情形时，基金管理人可暂停接受投资人的赎回申请或延缓支付赎回款项：</w:t>
      </w:r>
    </w:p>
    <w:p w14:paraId="4AD839E7">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14:paraId="6432250A">
      <w:pPr>
        <w:tabs>
          <w:tab w:val="left" w:pos="4536"/>
        </w:tabs>
        <w:spacing w:line="360" w:lineRule="auto"/>
        <w:ind w:firstLine="480" w:firstLineChars="200"/>
        <w:rPr>
          <w:bCs/>
          <w:sz w:val="24"/>
          <w:u w:val="single"/>
        </w:rPr>
      </w:pPr>
      <w:r>
        <w:rPr>
          <w:rFonts w:hint="eastAsia"/>
          <w:bCs/>
          <w:sz w:val="24"/>
        </w:rPr>
        <w:t>2、发生基金合同规定的暂停基金资产估值情况时，基金管理人可暂停接受投资人的赎回申请或延缓支付赎回款项。当特定资产占前一估值日基金资产净值 50%以上时，经与基金托管人协商确认后，基金管理人应当暂停接受基金赎回申请或延缓支付赎回款项。</w:t>
      </w:r>
    </w:p>
    <w:p w14:paraId="72C3CD77">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29" w:name="_Hlt152500890"/>
      <w:r>
        <w:rPr>
          <w:bCs/>
          <w:sz w:val="24"/>
        </w:rPr>
        <w:t>净值。</w:t>
      </w:r>
    </w:p>
    <w:p w14:paraId="5CAE5074">
      <w:pPr>
        <w:spacing w:line="360" w:lineRule="auto"/>
        <w:ind w:firstLine="480" w:firstLineChars="200"/>
        <w:rPr>
          <w:bCs/>
          <w:sz w:val="24"/>
        </w:rPr>
      </w:pPr>
      <w:r>
        <w:rPr>
          <w:rFonts w:hint="eastAsia"/>
          <w:bCs/>
          <w:sz w:val="24"/>
        </w:rPr>
        <w:t>4、</w:t>
      </w:r>
      <w:r>
        <w:rPr>
          <w:bCs/>
          <w:sz w:val="24"/>
        </w:rPr>
        <w:t>连续两个或两个以上开放日发生巨额赎回。</w:t>
      </w:r>
    </w:p>
    <w:bookmarkEnd w:id="129"/>
    <w:p w14:paraId="265166A8">
      <w:pPr>
        <w:spacing w:line="360" w:lineRule="auto"/>
        <w:ind w:firstLine="480" w:firstLineChars="200"/>
        <w:rPr>
          <w:bCs/>
          <w:sz w:val="24"/>
        </w:rPr>
      </w:pPr>
      <w:r>
        <w:rPr>
          <w:rFonts w:hint="eastAsia"/>
          <w:bCs/>
          <w:sz w:val="24"/>
        </w:rPr>
        <w:t>5、出现继续接受赎回申请将损害现有基金份额持有人利益的情形时，可暂停接受投资人的赎回申请。</w:t>
      </w:r>
    </w:p>
    <w:p w14:paraId="1BDBFFD1">
      <w:pPr>
        <w:spacing w:line="360" w:lineRule="auto"/>
        <w:ind w:firstLine="480" w:firstLineChars="200"/>
        <w:rPr>
          <w:bCs/>
          <w:sz w:val="24"/>
        </w:rPr>
      </w:pPr>
      <w:r>
        <w:rPr>
          <w:rFonts w:hint="eastAsia"/>
          <w:bCs/>
          <w:sz w:val="24"/>
        </w:rPr>
        <w:t>6、</w:t>
      </w:r>
      <w:r>
        <w:rPr>
          <w:bCs/>
          <w:sz w:val="24"/>
        </w:rPr>
        <w:t>法律法规规定或中国证监会认定的其他情形。</w:t>
      </w:r>
    </w:p>
    <w:p w14:paraId="61F1C506">
      <w:pPr>
        <w:spacing w:line="360" w:lineRule="auto"/>
        <w:ind w:firstLine="480" w:firstLineChars="200"/>
        <w:rPr>
          <w:bCs/>
        </w:rPr>
      </w:pPr>
      <w:r>
        <w:rPr>
          <w:bCs/>
          <w:sz w:val="24"/>
        </w:rPr>
        <w:t>发生上述情形</w:t>
      </w:r>
      <w:r>
        <w:rPr>
          <w:rFonts w:hint="eastAsia"/>
          <w:bCs/>
          <w:sz w:val="24"/>
        </w:rPr>
        <w:t>之一且基金管理人决定暂停接受基金份额持有人的赎回申请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32057B1">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14:paraId="5AD0D2FA">
      <w:pPr>
        <w:spacing w:line="360" w:lineRule="auto"/>
        <w:ind w:firstLine="480" w:firstLineChars="200"/>
        <w:rPr>
          <w:bCs/>
          <w:sz w:val="24"/>
        </w:rPr>
      </w:pPr>
      <w:r>
        <w:rPr>
          <w:bCs/>
          <w:sz w:val="24"/>
        </w:rPr>
        <w:t>1</w:t>
      </w:r>
      <w:r>
        <w:rPr>
          <w:rFonts w:hint="eastAsia"/>
          <w:bCs/>
          <w:sz w:val="24"/>
        </w:rPr>
        <w:t>、</w:t>
      </w:r>
      <w:r>
        <w:rPr>
          <w:bCs/>
          <w:sz w:val="24"/>
        </w:rPr>
        <w:t>巨额赎回的认定</w:t>
      </w:r>
    </w:p>
    <w:p w14:paraId="183AAB12">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bCs/>
          <w:sz w:val="24"/>
        </w:rPr>
        <w:t>，即认为是发生了巨额赎回。</w:t>
      </w:r>
    </w:p>
    <w:p w14:paraId="1DC19ABF">
      <w:pPr>
        <w:spacing w:line="360" w:lineRule="auto"/>
        <w:ind w:firstLine="480" w:firstLineChars="200"/>
        <w:rPr>
          <w:bCs/>
          <w:sz w:val="24"/>
        </w:rPr>
      </w:pPr>
      <w:r>
        <w:rPr>
          <w:bCs/>
          <w:sz w:val="24"/>
        </w:rPr>
        <w:t>2</w:t>
      </w:r>
      <w:r>
        <w:rPr>
          <w:rFonts w:hint="eastAsia"/>
          <w:bCs/>
          <w:sz w:val="24"/>
        </w:rPr>
        <w:t>、</w:t>
      </w:r>
      <w:r>
        <w:rPr>
          <w:bCs/>
          <w:sz w:val="24"/>
        </w:rPr>
        <w:t>巨额赎回的处理方式</w:t>
      </w:r>
    </w:p>
    <w:p w14:paraId="275A569F">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14:paraId="4FB9E54E">
      <w:pPr>
        <w:spacing w:line="360" w:lineRule="auto"/>
        <w:ind w:firstLine="480" w:firstLineChars="200"/>
        <w:rPr>
          <w:bCs/>
          <w:sz w:val="24"/>
        </w:rPr>
      </w:pPr>
      <w:r>
        <w:rPr>
          <w:bCs/>
          <w:sz w:val="24"/>
        </w:rPr>
        <w:t>（1）全额赎回：当基金管理人认为有能力支付投资人的全部赎回申请时，按正常赎回程序执行。</w:t>
      </w:r>
    </w:p>
    <w:p w14:paraId="299ECF7B">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4C8A7BF9">
      <w:pPr>
        <w:spacing w:line="360" w:lineRule="auto"/>
        <w:ind w:firstLine="480" w:firstLineChars="200"/>
        <w:rPr>
          <w:bCs/>
          <w:sz w:val="24"/>
        </w:rPr>
      </w:pPr>
      <w:r>
        <w:rPr>
          <w:bCs/>
          <w:sz w:val="24"/>
        </w:rPr>
        <w:t>（</w:t>
      </w:r>
      <w:r>
        <w:rPr>
          <w:rFonts w:hint="eastAsia"/>
          <w:bCs/>
          <w:sz w:val="24"/>
        </w:rPr>
        <w:t>3</w:t>
      </w:r>
      <w:r>
        <w:rPr>
          <w:bCs/>
          <w:sz w:val="24"/>
        </w:rPr>
        <w:t>）暂停赎回：连续</w:t>
      </w:r>
      <w:r>
        <w:rPr>
          <w:rFonts w:hint="eastAsia"/>
          <w:bCs/>
          <w:sz w:val="24"/>
        </w:rPr>
        <w:t>2个开放</w:t>
      </w:r>
      <w:r>
        <w:rPr>
          <w:bCs/>
          <w:sz w:val="24"/>
        </w:rPr>
        <w:t>日以上(含本数)发生巨额赎回，如基金管理人认为有必要，可暂停接受基金的赎回申请；已经接受的赎回申请可以延缓支付赎回款项，但不得超过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77C2D493">
      <w:pPr>
        <w:spacing w:line="360" w:lineRule="auto"/>
        <w:ind w:firstLine="480" w:firstLineChars="200"/>
        <w:rPr>
          <w:bCs/>
          <w:sz w:val="24"/>
        </w:rPr>
      </w:pPr>
      <w:r>
        <w:rPr>
          <w:rFonts w:hint="eastAsia"/>
          <w:bCs/>
          <w:sz w:val="24"/>
        </w:rPr>
        <w:t>（4）当基金发生巨额赎回，在单个基金份额持有人超过上一开放日基金总份额30%以上的赎回申请情形下，基金管理人可以延期办理该基金份额持有人的赎回申请。当办理延期赎回时，基金管理人对于其超过基金总份额30%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该类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0861F26F">
      <w:pPr>
        <w:spacing w:line="360" w:lineRule="auto"/>
        <w:ind w:firstLine="480" w:firstLineChars="200"/>
        <w:rPr>
          <w:bCs/>
          <w:sz w:val="24"/>
        </w:rPr>
      </w:pPr>
      <w:r>
        <w:rPr>
          <w:bCs/>
          <w:sz w:val="24"/>
        </w:rPr>
        <w:t>3</w:t>
      </w:r>
      <w:r>
        <w:rPr>
          <w:rFonts w:hint="eastAsia"/>
          <w:bCs/>
          <w:sz w:val="24"/>
        </w:rPr>
        <w:t>、</w:t>
      </w:r>
      <w:r>
        <w:rPr>
          <w:bCs/>
          <w:sz w:val="24"/>
        </w:rPr>
        <w:t>巨额赎回的公告</w:t>
      </w:r>
    </w:p>
    <w:p w14:paraId="309E3683">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14:paraId="409DFD2E">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14:paraId="0806B364">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发生上述暂停申购或赎回情况的，基金管理人应在规定期限内在指定媒介上刊登暂停公告。</w:t>
      </w:r>
    </w:p>
    <w:p w14:paraId="041CC977">
      <w:pPr>
        <w:spacing w:line="360" w:lineRule="auto"/>
        <w:ind w:firstLine="480" w:firstLineChars="200"/>
        <w:rPr>
          <w:bCs/>
          <w:sz w:val="24"/>
        </w:rPr>
      </w:pPr>
      <w:r>
        <w:rPr>
          <w:bCs/>
          <w:sz w:val="24"/>
        </w:rPr>
        <w:t>2</w:t>
      </w:r>
      <w:r>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14:paraId="5F698E4E">
      <w:pPr>
        <w:spacing w:line="360" w:lineRule="auto"/>
        <w:ind w:firstLine="480" w:firstLineChars="200"/>
        <w:rPr>
          <w:bCs/>
          <w:sz w:val="24"/>
        </w:rPr>
      </w:pPr>
      <w:r>
        <w:rPr>
          <w:bCs/>
          <w:sz w:val="24"/>
        </w:rPr>
        <w:t>十一</w:t>
      </w:r>
      <w:r>
        <w:rPr>
          <w:rFonts w:hint="eastAsia"/>
          <w:bCs/>
          <w:sz w:val="24"/>
        </w:rPr>
        <w:t>、</w:t>
      </w:r>
      <w:r>
        <w:rPr>
          <w:bCs/>
          <w:sz w:val="24"/>
        </w:rPr>
        <w:t>基金转换</w:t>
      </w:r>
    </w:p>
    <w:p w14:paraId="6F852963">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291C01C">
      <w:pPr>
        <w:spacing w:line="360" w:lineRule="auto"/>
        <w:ind w:firstLine="480" w:firstLineChars="200"/>
        <w:rPr>
          <w:bCs/>
          <w:sz w:val="24"/>
        </w:rPr>
      </w:pPr>
      <w:r>
        <w:rPr>
          <w:bCs/>
          <w:sz w:val="24"/>
        </w:rPr>
        <w:t>十二</w:t>
      </w:r>
      <w:r>
        <w:rPr>
          <w:rFonts w:hint="eastAsia"/>
          <w:bCs/>
          <w:sz w:val="24"/>
        </w:rPr>
        <w:t>、</w:t>
      </w:r>
      <w:r>
        <w:rPr>
          <w:bCs/>
          <w:sz w:val="24"/>
        </w:rPr>
        <w:t>基金的非交易过户</w:t>
      </w:r>
    </w:p>
    <w:p w14:paraId="0C83E9D6">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r>
        <w:rPr>
          <w:rFonts w:hint="eastAsia"/>
          <w:bCs/>
          <w:sz w:val="24"/>
        </w:rPr>
        <w:t>，或者按照相关法律法规或国家有权机关要求的方式进行处理</w:t>
      </w:r>
      <w:r>
        <w:rPr>
          <w:bCs/>
          <w:sz w:val="24"/>
        </w:rPr>
        <w:t>。</w:t>
      </w:r>
    </w:p>
    <w:p w14:paraId="3BAE6D4A">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A392B7">
      <w:pPr>
        <w:spacing w:line="360" w:lineRule="auto"/>
        <w:ind w:firstLine="480" w:firstLineChars="200"/>
        <w:rPr>
          <w:bCs/>
          <w:sz w:val="24"/>
        </w:rPr>
      </w:pPr>
      <w:r>
        <w:rPr>
          <w:bCs/>
          <w:sz w:val="24"/>
        </w:rPr>
        <w:t>十三</w:t>
      </w:r>
      <w:r>
        <w:rPr>
          <w:rFonts w:hint="eastAsia"/>
          <w:bCs/>
          <w:sz w:val="24"/>
        </w:rPr>
        <w:t>、</w:t>
      </w:r>
      <w:r>
        <w:rPr>
          <w:bCs/>
          <w:sz w:val="24"/>
        </w:rPr>
        <w:t>基金的转托管</w:t>
      </w:r>
    </w:p>
    <w:p w14:paraId="7740405B">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14:paraId="76F1E701">
      <w:pPr>
        <w:spacing w:line="360" w:lineRule="auto"/>
        <w:ind w:firstLine="480" w:firstLineChars="200"/>
        <w:rPr>
          <w:bCs/>
          <w:sz w:val="24"/>
        </w:rPr>
      </w:pPr>
      <w:r>
        <w:rPr>
          <w:bCs/>
          <w:sz w:val="24"/>
        </w:rPr>
        <w:t>十四</w:t>
      </w:r>
      <w:r>
        <w:rPr>
          <w:rFonts w:hint="eastAsia"/>
          <w:bCs/>
          <w:sz w:val="24"/>
        </w:rPr>
        <w:t>、</w:t>
      </w:r>
      <w:r>
        <w:rPr>
          <w:bCs/>
          <w:sz w:val="24"/>
        </w:rPr>
        <w:t>定期定额投资计划</w:t>
      </w:r>
    </w:p>
    <w:p w14:paraId="39380C9F">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64901F5">
      <w:pPr>
        <w:spacing w:line="360" w:lineRule="auto"/>
        <w:ind w:firstLine="480" w:firstLineChars="20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与质押</w:t>
      </w:r>
    </w:p>
    <w:p w14:paraId="29DCF7CF">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基金账户或基金份额被冻结的，被冻结基金份额所产生的权益一并冻结，被冻结部分份额仍然参与收益分配，法律法规另有规定的除外。</w:t>
      </w:r>
    </w:p>
    <w:p w14:paraId="1D1B97F1">
      <w:pPr>
        <w:spacing w:line="360" w:lineRule="auto"/>
        <w:ind w:firstLine="480" w:firstLineChars="200"/>
        <w:rPr>
          <w:bCs/>
          <w:sz w:val="24"/>
        </w:rPr>
      </w:pPr>
      <w:r>
        <w:rPr>
          <w:rFonts w:hint="eastAsia"/>
          <w:bCs/>
          <w:sz w:val="24"/>
        </w:rPr>
        <w:t>如相关法律法规允许基金管理人办理基金份额的质押业务或其他基金业务，基金管理人将制定和实施相应的业务规则。</w:t>
      </w:r>
    </w:p>
    <w:p w14:paraId="46A0C6ED">
      <w:pPr>
        <w:spacing w:line="360" w:lineRule="auto"/>
        <w:ind w:firstLine="480" w:firstLineChars="200"/>
        <w:rPr>
          <w:bCs/>
          <w:sz w:val="24"/>
        </w:rPr>
      </w:pPr>
      <w:r>
        <w:rPr>
          <w:rFonts w:hint="eastAsia"/>
          <w:bCs/>
          <w:sz w:val="24"/>
        </w:rPr>
        <w:t>十六、实施侧袋机制期间本基金的申购与赎回</w:t>
      </w:r>
    </w:p>
    <w:p w14:paraId="20FC4BCA">
      <w:pPr>
        <w:spacing w:line="360" w:lineRule="auto"/>
        <w:ind w:firstLine="480" w:firstLineChars="200"/>
        <w:rPr>
          <w:bCs/>
          <w:sz w:val="24"/>
        </w:rPr>
      </w:pPr>
      <w:r>
        <w:rPr>
          <w:rFonts w:hint="eastAsia"/>
          <w:bCs/>
          <w:sz w:val="24"/>
        </w:rPr>
        <w:t>本基金实施侧袋机制的，本基金的申购和赎回安排详见招募说明书或相关公告。</w:t>
      </w:r>
    </w:p>
    <w:p w14:paraId="09F4481F">
      <w:pPr>
        <w:spacing w:line="360" w:lineRule="auto"/>
        <w:ind w:firstLine="480" w:firstLineChars="200"/>
        <w:rPr>
          <w:bCs/>
          <w:sz w:val="24"/>
        </w:rPr>
      </w:pPr>
    </w:p>
    <w:p w14:paraId="7B7F8887">
      <w:pPr>
        <w:spacing w:line="360" w:lineRule="auto"/>
        <w:rPr>
          <w:bCs/>
          <w:sz w:val="24"/>
        </w:rPr>
      </w:pPr>
    </w:p>
    <w:p w14:paraId="66A596E1">
      <w:pPr>
        <w:spacing w:line="360" w:lineRule="auto"/>
        <w:ind w:firstLine="480" w:firstLineChars="200"/>
        <w:rPr>
          <w:bCs/>
          <w:sz w:val="24"/>
          <w:shd w:val="pct10" w:color="auto" w:fill="FFFFFF"/>
        </w:rPr>
      </w:pPr>
    </w:p>
    <w:p w14:paraId="799A2F0B">
      <w:pPr>
        <w:spacing w:line="360" w:lineRule="auto"/>
        <w:ind w:firstLine="480" w:firstLineChars="200"/>
        <w:rPr>
          <w:bCs/>
          <w:sz w:val="24"/>
        </w:rPr>
      </w:pPr>
    </w:p>
    <w:p w14:paraId="2B0BBC1F">
      <w:pPr>
        <w:pStyle w:val="2"/>
        <w:spacing w:before="0" w:after="0"/>
        <w:jc w:val="center"/>
        <w:rPr>
          <w:rFonts w:ascii="Times New Roman"/>
          <w:color w:val="auto"/>
          <w:sz w:val="30"/>
        </w:rPr>
      </w:pPr>
      <w:r>
        <w:rPr>
          <w:rFonts w:ascii="Times New Roman"/>
          <w:b w:val="0"/>
          <w:bCs/>
          <w:color w:val="auto"/>
        </w:rPr>
        <w:br w:type="page"/>
      </w:r>
      <w:bookmarkStart w:id="130" w:name="_Toc123112235"/>
      <w:bookmarkStart w:id="131" w:name="_Toc15143"/>
      <w:bookmarkStart w:id="132" w:name="_Toc139991737"/>
      <w:bookmarkStart w:id="133" w:name="_Toc12245"/>
      <w:bookmarkStart w:id="134" w:name="_Toc123051453"/>
      <w:bookmarkStart w:id="135" w:name="_Toc29251"/>
      <w:bookmarkStart w:id="136" w:name="_Toc31653"/>
      <w:bookmarkStart w:id="137" w:name="_Toc98560353"/>
      <w:bookmarkStart w:id="138" w:name="_Toc14835"/>
      <w:bookmarkStart w:id="139" w:name="_Toc141703887"/>
      <w:bookmarkStart w:id="140" w:name="_Toc3601"/>
      <w:bookmarkStart w:id="141" w:name="_Toc26207"/>
      <w:bookmarkStart w:id="142" w:name="_Toc31644"/>
      <w:bookmarkStart w:id="143" w:name="_Toc31235"/>
      <w:bookmarkStart w:id="144" w:name="_Toc6405"/>
      <w:bookmarkStart w:id="145" w:name="_Toc16859"/>
      <w:bookmarkStart w:id="146" w:name="_Toc123102454"/>
      <w:r>
        <w:rPr>
          <w:rFonts w:ascii="Times New Roman"/>
          <w:color w:val="auto"/>
          <w:sz w:val="30"/>
        </w:rPr>
        <w:t>第七部分  基金合同当事人及权利义务</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7" w:name="_Hlt55355235"/>
      <w:bookmarkEnd w:id="147"/>
      <w:bookmarkStart w:id="148" w:name="_Toc523711668"/>
      <w:bookmarkStart w:id="149" w:name="_Toc15118234"/>
      <w:bookmarkStart w:id="150" w:name="_Toc79392580"/>
      <w:bookmarkStart w:id="151" w:name="_Toc57530239"/>
    </w:p>
    <w:p w14:paraId="7C3CC64D">
      <w:pPr>
        <w:spacing w:line="360" w:lineRule="auto"/>
        <w:ind w:firstLine="480" w:firstLineChars="200"/>
        <w:rPr>
          <w:bCs/>
          <w:sz w:val="24"/>
        </w:rPr>
      </w:pPr>
    </w:p>
    <w:p w14:paraId="42907E65">
      <w:pPr>
        <w:spacing w:line="360" w:lineRule="auto"/>
        <w:ind w:firstLine="480" w:firstLineChars="200"/>
        <w:rPr>
          <w:bCs/>
          <w:sz w:val="24"/>
        </w:rPr>
      </w:pPr>
      <w:r>
        <w:rPr>
          <w:bCs/>
          <w:sz w:val="24"/>
        </w:rPr>
        <w:t>一、基金</w:t>
      </w:r>
      <w:bookmarkEnd w:id="148"/>
      <w:r>
        <w:rPr>
          <w:bCs/>
          <w:sz w:val="24"/>
        </w:rPr>
        <w:t>管理人</w:t>
      </w:r>
      <w:bookmarkEnd w:id="149"/>
      <w:bookmarkEnd w:id="150"/>
      <w:bookmarkEnd w:id="151"/>
    </w:p>
    <w:p w14:paraId="3C4DBD70">
      <w:pPr>
        <w:spacing w:line="360" w:lineRule="auto"/>
        <w:ind w:firstLine="480" w:firstLineChars="200"/>
        <w:rPr>
          <w:bCs/>
          <w:sz w:val="24"/>
        </w:rPr>
      </w:pPr>
      <w:bookmarkStart w:id="152" w:name="_Toc15118235"/>
      <w:r>
        <w:rPr>
          <w:bCs/>
          <w:sz w:val="24"/>
        </w:rPr>
        <w:t>（一）</w:t>
      </w:r>
      <w:r>
        <w:rPr>
          <w:bCs/>
          <w:sz w:val="24"/>
        </w:rPr>
        <w:tab/>
      </w:r>
      <w:r>
        <w:rPr>
          <w:bCs/>
          <w:sz w:val="24"/>
        </w:rPr>
        <w:t>基金管理人简况</w:t>
      </w:r>
      <w:bookmarkEnd w:id="152"/>
    </w:p>
    <w:p w14:paraId="0D6935E0">
      <w:pPr>
        <w:spacing w:line="360" w:lineRule="auto"/>
        <w:ind w:firstLine="480" w:firstLineChars="200"/>
        <w:rPr>
          <w:bCs/>
          <w:sz w:val="24"/>
        </w:rPr>
      </w:pPr>
      <w:bookmarkStart w:id="153" w:name="_Toc15118236"/>
      <w:bookmarkStart w:id="154" w:name="_Toc15118237"/>
      <w:r>
        <w:rPr>
          <w:bCs/>
          <w:sz w:val="24"/>
        </w:rPr>
        <w:t>名称：</w:t>
      </w:r>
      <w:bookmarkEnd w:id="153"/>
      <w:r>
        <w:rPr>
          <w:rFonts w:hint="eastAsia"/>
          <w:bCs/>
          <w:sz w:val="24"/>
        </w:rPr>
        <w:t>华商基金管理有限公司</w:t>
      </w:r>
    </w:p>
    <w:p w14:paraId="18449118">
      <w:pPr>
        <w:spacing w:line="360" w:lineRule="auto"/>
        <w:ind w:firstLine="480" w:firstLineChars="200"/>
        <w:rPr>
          <w:bCs/>
          <w:sz w:val="24"/>
        </w:rPr>
      </w:pPr>
      <w:r>
        <w:rPr>
          <w:bCs/>
          <w:sz w:val="24"/>
        </w:rPr>
        <w:t>住所：</w:t>
      </w:r>
      <w:r>
        <w:rPr>
          <w:rFonts w:hint="eastAsia"/>
          <w:bCs/>
          <w:sz w:val="24"/>
        </w:rPr>
        <w:t>北京市西城区平安里西大街28号楼19层</w:t>
      </w:r>
    </w:p>
    <w:p w14:paraId="197EFA79">
      <w:pPr>
        <w:spacing w:line="360" w:lineRule="auto"/>
        <w:ind w:firstLine="480" w:firstLineChars="200"/>
        <w:rPr>
          <w:bCs/>
          <w:sz w:val="24"/>
        </w:rPr>
      </w:pPr>
      <w:r>
        <w:rPr>
          <w:bCs/>
          <w:sz w:val="24"/>
        </w:rPr>
        <w:t>法定代表人：</w:t>
      </w:r>
      <w:r>
        <w:rPr>
          <w:rFonts w:hint="eastAsia"/>
          <w:bCs/>
          <w:sz w:val="24"/>
        </w:rPr>
        <w:t>苏金奎</w:t>
      </w:r>
    </w:p>
    <w:p w14:paraId="375BA2A3">
      <w:pPr>
        <w:spacing w:line="360" w:lineRule="auto"/>
        <w:ind w:firstLine="480" w:firstLineChars="200"/>
        <w:rPr>
          <w:bCs/>
          <w:sz w:val="24"/>
        </w:rPr>
      </w:pPr>
      <w:r>
        <w:rPr>
          <w:bCs/>
          <w:sz w:val="24"/>
        </w:rPr>
        <w:t xml:space="preserve">设立日期： </w:t>
      </w:r>
      <w:r>
        <w:rPr>
          <w:rFonts w:hint="eastAsia"/>
          <w:bCs/>
          <w:sz w:val="24"/>
        </w:rPr>
        <w:t>2005年12月20日</w:t>
      </w:r>
    </w:p>
    <w:p w14:paraId="517B2746">
      <w:pPr>
        <w:spacing w:line="360" w:lineRule="auto"/>
        <w:ind w:firstLine="480" w:firstLineChars="200"/>
        <w:rPr>
          <w:bCs/>
          <w:sz w:val="24"/>
        </w:rPr>
      </w:pPr>
      <w:r>
        <w:rPr>
          <w:bCs/>
          <w:sz w:val="24"/>
        </w:rPr>
        <w:t>批准设立机关及批准设立文号：</w:t>
      </w:r>
      <w:r>
        <w:rPr>
          <w:rFonts w:hint="eastAsia"/>
          <w:bCs/>
          <w:sz w:val="24"/>
        </w:rPr>
        <w:t>中国证监会证监基金字【2005】160号</w:t>
      </w:r>
    </w:p>
    <w:p w14:paraId="7C9E7D05">
      <w:pPr>
        <w:spacing w:line="360" w:lineRule="auto"/>
        <w:ind w:firstLine="480" w:firstLineChars="200"/>
        <w:rPr>
          <w:bCs/>
          <w:sz w:val="24"/>
        </w:rPr>
      </w:pPr>
      <w:r>
        <w:rPr>
          <w:bCs/>
          <w:sz w:val="24"/>
        </w:rPr>
        <w:t>组织形式：</w:t>
      </w:r>
      <w:r>
        <w:rPr>
          <w:rFonts w:hint="eastAsia"/>
          <w:bCs/>
          <w:sz w:val="24"/>
        </w:rPr>
        <w:t>有限责任公司</w:t>
      </w:r>
    </w:p>
    <w:p w14:paraId="672F2BCA">
      <w:pPr>
        <w:spacing w:line="360" w:lineRule="auto"/>
        <w:ind w:firstLine="480" w:firstLineChars="200"/>
        <w:rPr>
          <w:bCs/>
          <w:sz w:val="24"/>
        </w:rPr>
      </w:pPr>
      <w:r>
        <w:rPr>
          <w:bCs/>
          <w:sz w:val="24"/>
        </w:rPr>
        <w:t>注册资本：</w:t>
      </w:r>
      <w:r>
        <w:rPr>
          <w:rFonts w:hint="eastAsia"/>
          <w:bCs/>
          <w:sz w:val="24"/>
        </w:rPr>
        <w:t>壹亿元人民币</w:t>
      </w:r>
    </w:p>
    <w:p w14:paraId="17AFD1B5">
      <w:pPr>
        <w:spacing w:line="360" w:lineRule="auto"/>
        <w:ind w:firstLine="480" w:firstLineChars="200"/>
        <w:rPr>
          <w:bCs/>
          <w:sz w:val="24"/>
        </w:rPr>
      </w:pPr>
      <w:r>
        <w:rPr>
          <w:bCs/>
          <w:sz w:val="24"/>
        </w:rPr>
        <w:t>存续期限：</w:t>
      </w:r>
      <w:r>
        <w:rPr>
          <w:rFonts w:hint="eastAsia"/>
          <w:bCs/>
          <w:sz w:val="24"/>
        </w:rPr>
        <w:t>持续经营</w:t>
      </w:r>
    </w:p>
    <w:p w14:paraId="4F0CC0C1">
      <w:pPr>
        <w:spacing w:line="360" w:lineRule="auto"/>
        <w:ind w:firstLine="480" w:firstLineChars="200"/>
        <w:rPr>
          <w:bCs/>
          <w:sz w:val="24"/>
        </w:rPr>
      </w:pPr>
      <w:r>
        <w:rPr>
          <w:bCs/>
          <w:sz w:val="24"/>
        </w:rPr>
        <w:t>联系电话：</w:t>
      </w:r>
      <w:r>
        <w:rPr>
          <w:rFonts w:hint="eastAsia"/>
          <w:bCs/>
          <w:sz w:val="24"/>
        </w:rPr>
        <w:t>010-58573600</w:t>
      </w:r>
    </w:p>
    <w:p w14:paraId="374B8833">
      <w:pPr>
        <w:spacing w:line="360" w:lineRule="auto"/>
        <w:ind w:firstLine="480" w:firstLineChars="200"/>
        <w:rPr>
          <w:bCs/>
          <w:sz w:val="24"/>
        </w:rPr>
      </w:pPr>
      <w:r>
        <w:rPr>
          <w:bCs/>
          <w:sz w:val="24"/>
        </w:rPr>
        <w:t>（二）</w:t>
      </w:r>
      <w:r>
        <w:rPr>
          <w:bCs/>
          <w:sz w:val="24"/>
        </w:rPr>
        <w:tab/>
      </w:r>
      <w:r>
        <w:rPr>
          <w:bCs/>
          <w:sz w:val="24"/>
        </w:rPr>
        <w:t>基金管理人的权利与义务</w:t>
      </w:r>
      <w:bookmarkEnd w:id="154"/>
    </w:p>
    <w:p w14:paraId="67B4EF6E">
      <w:pPr>
        <w:spacing w:line="360" w:lineRule="auto"/>
        <w:ind w:firstLine="480" w:firstLineChars="200"/>
        <w:rPr>
          <w:bCs/>
          <w:sz w:val="24"/>
        </w:rPr>
      </w:pPr>
      <w:r>
        <w:rPr>
          <w:bCs/>
          <w:sz w:val="24"/>
        </w:rPr>
        <w:t>1、根据《基金法》、《运作办法》及其他有关规定，基金管理人的权利包括但不限于：</w:t>
      </w:r>
    </w:p>
    <w:p w14:paraId="2352462D">
      <w:pPr>
        <w:spacing w:line="360" w:lineRule="auto"/>
        <w:ind w:firstLine="480" w:firstLineChars="200"/>
        <w:rPr>
          <w:bCs/>
          <w:sz w:val="24"/>
        </w:rPr>
      </w:pPr>
      <w:r>
        <w:rPr>
          <w:bCs/>
          <w:sz w:val="24"/>
        </w:rPr>
        <w:t>（1）依法募集</w:t>
      </w:r>
      <w:r>
        <w:rPr>
          <w:rFonts w:hint="eastAsia"/>
          <w:bCs/>
          <w:sz w:val="24"/>
        </w:rPr>
        <w:t>资金</w:t>
      </w:r>
      <w:r>
        <w:rPr>
          <w:bCs/>
          <w:sz w:val="24"/>
        </w:rPr>
        <w:t>；</w:t>
      </w:r>
    </w:p>
    <w:p w14:paraId="265ADF73">
      <w:pPr>
        <w:spacing w:line="360" w:lineRule="auto"/>
        <w:ind w:firstLine="480" w:firstLineChars="200"/>
        <w:rPr>
          <w:bCs/>
          <w:sz w:val="24"/>
        </w:rPr>
      </w:pPr>
      <w:r>
        <w:rPr>
          <w:bCs/>
          <w:sz w:val="24"/>
        </w:rPr>
        <w:t>（2）自《基金合同》生效之日起，根据法律法规和《基金合同》独立运用并管理基金财产；</w:t>
      </w:r>
    </w:p>
    <w:p w14:paraId="073B13F9">
      <w:pPr>
        <w:spacing w:line="360" w:lineRule="auto"/>
        <w:ind w:firstLine="480" w:firstLineChars="200"/>
        <w:rPr>
          <w:bCs/>
          <w:sz w:val="24"/>
        </w:rPr>
      </w:pPr>
      <w:r>
        <w:rPr>
          <w:bCs/>
          <w:sz w:val="24"/>
        </w:rPr>
        <w:t>（3）依照《基金合同》收取基金管理费以及法律法规规定或中国证监会批准的其他费用；</w:t>
      </w:r>
    </w:p>
    <w:p w14:paraId="0079FF18">
      <w:pPr>
        <w:spacing w:line="360" w:lineRule="auto"/>
        <w:ind w:firstLine="480" w:firstLineChars="200"/>
        <w:rPr>
          <w:bCs/>
          <w:sz w:val="24"/>
        </w:rPr>
      </w:pPr>
      <w:r>
        <w:rPr>
          <w:bCs/>
          <w:sz w:val="24"/>
        </w:rPr>
        <w:t>（4）销售基金份额；</w:t>
      </w:r>
    </w:p>
    <w:p w14:paraId="633BE1B5">
      <w:pPr>
        <w:spacing w:line="360" w:lineRule="auto"/>
        <w:ind w:firstLine="480" w:firstLineChars="200"/>
        <w:rPr>
          <w:bCs/>
          <w:sz w:val="24"/>
          <w:shd w:val="pct10" w:color="auto" w:fill="FFFFFF"/>
        </w:rPr>
      </w:pPr>
      <w:r>
        <w:rPr>
          <w:bCs/>
          <w:sz w:val="24"/>
        </w:rPr>
        <w:t>（5）</w:t>
      </w:r>
      <w:bookmarkStart w:id="155" w:name="_Hlt88896155"/>
      <w:r>
        <w:rPr>
          <w:rFonts w:hint="eastAsia"/>
          <w:bCs/>
          <w:sz w:val="24"/>
        </w:rPr>
        <w:t>按照规定</w:t>
      </w:r>
      <w:r>
        <w:rPr>
          <w:bCs/>
          <w:sz w:val="24"/>
        </w:rPr>
        <w:t>召集</w:t>
      </w:r>
      <w:bookmarkEnd w:id="155"/>
      <w:r>
        <w:rPr>
          <w:bCs/>
          <w:sz w:val="24"/>
        </w:rPr>
        <w:t>基金份额持有人大会；</w:t>
      </w:r>
    </w:p>
    <w:p w14:paraId="0B4EBA1F">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14:paraId="6646DC46">
      <w:pPr>
        <w:spacing w:line="360" w:lineRule="auto"/>
        <w:ind w:firstLine="480" w:firstLineChars="200"/>
        <w:rPr>
          <w:bCs/>
          <w:sz w:val="24"/>
        </w:rPr>
      </w:pPr>
      <w:r>
        <w:rPr>
          <w:bCs/>
          <w:sz w:val="24"/>
        </w:rPr>
        <w:t>（7）在基金托管人更换时，提名新的基金托管人；</w:t>
      </w:r>
    </w:p>
    <w:p w14:paraId="477D5F4B">
      <w:pPr>
        <w:spacing w:line="440" w:lineRule="atLeast"/>
        <w:ind w:firstLine="480" w:firstLineChars="200"/>
        <w:rPr>
          <w:bCs/>
          <w:sz w:val="24"/>
        </w:rPr>
      </w:pPr>
      <w:r>
        <w:rPr>
          <w:bCs/>
          <w:sz w:val="24"/>
        </w:rPr>
        <w:t xml:space="preserve">（8）选择、更换基金销售机构，对基金销售机构的相关行为进行监督和处理； </w:t>
      </w:r>
    </w:p>
    <w:p w14:paraId="2FBD8F5F">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14:paraId="16320229">
      <w:pPr>
        <w:spacing w:line="440" w:lineRule="atLeast"/>
        <w:ind w:firstLine="480" w:firstLineChars="200"/>
        <w:rPr>
          <w:bCs/>
          <w:sz w:val="24"/>
        </w:rPr>
      </w:pPr>
      <w:r>
        <w:rPr>
          <w:bCs/>
          <w:sz w:val="24"/>
        </w:rPr>
        <w:t>（10）依据《基金合同》及有关法律规定决定基金收益的分配方案；</w:t>
      </w:r>
      <w:r>
        <w:rPr>
          <w:bCs/>
          <w:sz w:val="24"/>
        </w:rPr>
        <w:tab/>
      </w:r>
    </w:p>
    <w:p w14:paraId="17899FC9">
      <w:pPr>
        <w:spacing w:line="440" w:lineRule="atLeast"/>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和转换</w:t>
      </w:r>
      <w:r>
        <w:rPr>
          <w:bCs/>
          <w:sz w:val="24"/>
        </w:rPr>
        <w:t xml:space="preserve">申请； </w:t>
      </w:r>
    </w:p>
    <w:p w14:paraId="15C3A10A">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14:paraId="0D05A6E5">
      <w:pPr>
        <w:spacing w:line="440" w:lineRule="atLeast"/>
        <w:ind w:firstLine="480" w:firstLineChars="200"/>
        <w:rPr>
          <w:bCs/>
          <w:sz w:val="24"/>
        </w:rPr>
      </w:pPr>
      <w:r>
        <w:rPr>
          <w:bCs/>
          <w:sz w:val="24"/>
        </w:rPr>
        <w:t xml:space="preserve">（13）在法律法规允许的前提下，为基金的利益依法为基金进行融资； </w:t>
      </w:r>
    </w:p>
    <w:p w14:paraId="2CE063C1">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14:paraId="375F9E4F">
      <w:pPr>
        <w:spacing w:line="440" w:lineRule="atLeast"/>
        <w:ind w:firstLine="480" w:firstLineChars="200"/>
        <w:rPr>
          <w:bCs/>
          <w:sz w:val="24"/>
        </w:rPr>
      </w:pPr>
      <w:r>
        <w:rPr>
          <w:bCs/>
          <w:sz w:val="24"/>
        </w:rPr>
        <w:t>（15）选择、更换律师事务所、会计师事务所、证券</w:t>
      </w:r>
      <w:r>
        <w:rPr>
          <w:rFonts w:hint="eastAsia"/>
          <w:bCs/>
          <w:sz w:val="24"/>
        </w:rPr>
        <w:t>、期货</w:t>
      </w:r>
      <w:r>
        <w:rPr>
          <w:bCs/>
          <w:sz w:val="24"/>
        </w:rPr>
        <w:t>经纪商或其他为基金提供服务的外部机构；</w:t>
      </w:r>
      <w:r>
        <w:rPr>
          <w:bCs/>
          <w:sz w:val="24"/>
        </w:rPr>
        <w:tab/>
      </w:r>
    </w:p>
    <w:p w14:paraId="6A490334">
      <w:pPr>
        <w:spacing w:line="440" w:lineRule="atLeast"/>
        <w:ind w:firstLine="480" w:firstLineChars="200"/>
        <w:rPr>
          <w:bCs/>
          <w:sz w:val="24"/>
        </w:rPr>
      </w:pPr>
      <w:r>
        <w:rPr>
          <w:bCs/>
          <w:sz w:val="24"/>
        </w:rPr>
        <w:t>（16）在符合有关法律、法规的前提下，制订和调整有关基金认购、申购、赎回、转换和非交易过户的业务规则；</w:t>
      </w:r>
    </w:p>
    <w:p w14:paraId="0E0CDF2D">
      <w:pPr>
        <w:spacing w:line="440" w:lineRule="atLeast"/>
        <w:ind w:firstLine="480" w:firstLineChars="200"/>
        <w:rPr>
          <w:bCs/>
          <w:sz w:val="24"/>
        </w:rPr>
      </w:pPr>
      <w:r>
        <w:rPr>
          <w:bCs/>
          <w:sz w:val="24"/>
        </w:rPr>
        <w:t>（17）法律法规及中国证监会规定的和《基金合同》约定的其他权利。</w:t>
      </w:r>
    </w:p>
    <w:p w14:paraId="1EDA6970">
      <w:pPr>
        <w:spacing w:line="440" w:lineRule="atLeast"/>
        <w:ind w:firstLine="480" w:firstLineChars="200"/>
        <w:rPr>
          <w:bCs/>
          <w:sz w:val="24"/>
        </w:rPr>
      </w:pPr>
      <w:r>
        <w:rPr>
          <w:bCs/>
          <w:sz w:val="24"/>
        </w:rPr>
        <w:t>2、根据《基金法》、《运作办法》及其他有关规定，基金管理人的义务包括但不限于：</w:t>
      </w:r>
    </w:p>
    <w:p w14:paraId="3C0BA7FB">
      <w:pPr>
        <w:spacing w:line="440" w:lineRule="atLeast"/>
        <w:ind w:firstLine="480" w:firstLineChars="200"/>
        <w:rPr>
          <w:bCs/>
          <w:sz w:val="24"/>
        </w:rPr>
      </w:pPr>
      <w:bookmarkStart w:id="156" w:name="_Toc523711669"/>
      <w:r>
        <w:rPr>
          <w:bCs/>
          <w:sz w:val="24"/>
        </w:rPr>
        <w:t>（1）依法募集</w:t>
      </w:r>
      <w:r>
        <w:rPr>
          <w:rFonts w:hint="eastAsia"/>
          <w:bCs/>
          <w:sz w:val="24"/>
        </w:rPr>
        <w:t>资金</w:t>
      </w:r>
      <w:r>
        <w:rPr>
          <w:bCs/>
          <w:sz w:val="24"/>
        </w:rPr>
        <w:t>，办理或者委托经中国证监会认定的其他机构代为办理基金份额的发售、申购、赎回和登记事宜；</w:t>
      </w:r>
    </w:p>
    <w:p w14:paraId="26382E2A">
      <w:pPr>
        <w:spacing w:line="440" w:lineRule="atLeast"/>
        <w:ind w:firstLine="480" w:firstLineChars="200"/>
        <w:rPr>
          <w:bCs/>
          <w:sz w:val="24"/>
        </w:rPr>
      </w:pPr>
      <w:r>
        <w:rPr>
          <w:bCs/>
          <w:sz w:val="24"/>
        </w:rPr>
        <w:t>（2）办理基金备案手续；</w:t>
      </w:r>
    </w:p>
    <w:p w14:paraId="544FBCE6">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14:paraId="120EB3E0">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14:paraId="59175690">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F60C95F">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7" w:name="_Hlt88897298"/>
      <w:bookmarkEnd w:id="157"/>
    </w:p>
    <w:p w14:paraId="6F1A3366">
      <w:pPr>
        <w:spacing w:line="360" w:lineRule="auto"/>
        <w:ind w:firstLine="480" w:firstLineChars="200"/>
        <w:rPr>
          <w:bCs/>
          <w:sz w:val="24"/>
        </w:rPr>
      </w:pPr>
      <w:r>
        <w:rPr>
          <w:bCs/>
          <w:sz w:val="24"/>
        </w:rPr>
        <w:t>（7）</w:t>
      </w:r>
      <w:r>
        <w:rPr>
          <w:bCs/>
          <w:sz w:val="24"/>
        </w:rPr>
        <w:tab/>
      </w:r>
      <w:r>
        <w:rPr>
          <w:bCs/>
          <w:sz w:val="24"/>
        </w:rPr>
        <w:t>依法接受基金托管人的监督；</w:t>
      </w:r>
    </w:p>
    <w:p w14:paraId="5B32D3DA">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47F63F84">
      <w:pPr>
        <w:spacing w:line="360" w:lineRule="auto"/>
        <w:ind w:firstLine="480" w:firstLineChars="200"/>
        <w:rPr>
          <w:bCs/>
          <w:sz w:val="24"/>
        </w:rPr>
      </w:pPr>
      <w:r>
        <w:rPr>
          <w:bCs/>
          <w:sz w:val="24"/>
        </w:rPr>
        <w:t>（9）进行基金会计核算并编制基金财务会计报告；</w:t>
      </w:r>
    </w:p>
    <w:p w14:paraId="4CEF8551">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14:paraId="1BDA5084">
      <w:pPr>
        <w:spacing w:line="360" w:lineRule="auto"/>
        <w:ind w:firstLine="480" w:firstLineChars="200"/>
        <w:rPr>
          <w:bCs/>
          <w:sz w:val="24"/>
        </w:rPr>
      </w:pPr>
      <w:r>
        <w:rPr>
          <w:bCs/>
          <w:sz w:val="24"/>
        </w:rPr>
        <w:t>（11）</w:t>
      </w:r>
      <w:r>
        <w:rPr>
          <w:bCs/>
          <w:sz w:val="24"/>
        </w:rPr>
        <w:tab/>
      </w:r>
      <w:r>
        <w:rPr>
          <w:bCs/>
          <w:sz w:val="24"/>
        </w:rPr>
        <w:t>严格按照《基金法》、《基金合同》及其他有关规定，履行信息披露及报告义务；</w:t>
      </w:r>
    </w:p>
    <w:p w14:paraId="214F947F">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14:paraId="05009CFD">
      <w:pPr>
        <w:spacing w:line="360" w:lineRule="auto"/>
        <w:ind w:firstLine="480" w:firstLineChars="200"/>
        <w:rPr>
          <w:bCs/>
          <w:sz w:val="24"/>
        </w:rPr>
      </w:pPr>
      <w:r>
        <w:rPr>
          <w:bCs/>
          <w:sz w:val="24"/>
        </w:rPr>
        <w:t>（13）按《基金合同》的约定确定基金收益分配方案，及时向基金份额持有人分配基金收益；</w:t>
      </w:r>
    </w:p>
    <w:p w14:paraId="03934904">
      <w:pPr>
        <w:spacing w:line="360" w:lineRule="auto"/>
        <w:ind w:firstLine="480" w:firstLineChars="200"/>
        <w:rPr>
          <w:bCs/>
          <w:sz w:val="24"/>
        </w:rPr>
      </w:pPr>
      <w:r>
        <w:rPr>
          <w:bCs/>
          <w:sz w:val="24"/>
        </w:rPr>
        <w:t>（14）按规定受理申购与赎回申请，及时、足额支付赎回款项；</w:t>
      </w:r>
    </w:p>
    <w:p w14:paraId="4464CD49">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14:paraId="6A243126">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14:paraId="097E7186">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D5D8AD">
      <w:pPr>
        <w:spacing w:line="360" w:lineRule="auto"/>
        <w:ind w:firstLine="480" w:firstLineChars="200"/>
        <w:rPr>
          <w:bCs/>
          <w:sz w:val="24"/>
        </w:rPr>
      </w:pPr>
      <w:r>
        <w:rPr>
          <w:bCs/>
          <w:sz w:val="24"/>
        </w:rPr>
        <w:t>（18）组织并参加基金财产清算小组,参与基金财产的保管、清理、估价、变现和分配；</w:t>
      </w:r>
    </w:p>
    <w:p w14:paraId="70E64B1F">
      <w:pPr>
        <w:spacing w:line="360" w:lineRule="auto"/>
        <w:ind w:firstLine="480" w:firstLineChars="200"/>
        <w:rPr>
          <w:bCs/>
          <w:sz w:val="24"/>
        </w:rPr>
      </w:pPr>
      <w:r>
        <w:rPr>
          <w:bCs/>
          <w:sz w:val="24"/>
        </w:rPr>
        <w:t>（19）面临解散、依法被撤销或者被依法宣告破产时，及时报告中国证监会并通知基金托管人；</w:t>
      </w:r>
    </w:p>
    <w:p w14:paraId="4DDCE224">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14:paraId="2DDC5EEA">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14:paraId="7A31F6B2">
      <w:pPr>
        <w:spacing w:line="360" w:lineRule="auto"/>
        <w:ind w:firstLine="480" w:firstLineChars="200"/>
        <w:rPr>
          <w:bCs/>
          <w:sz w:val="24"/>
        </w:rPr>
      </w:pPr>
      <w:r>
        <w:rPr>
          <w:bCs/>
          <w:sz w:val="24"/>
        </w:rPr>
        <w:t>（22）当基金管理人将其义务委托第三方处理时，应当对第三方处理有关基金事务的行为承担责任；</w:t>
      </w:r>
    </w:p>
    <w:p w14:paraId="69D1F3A3">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14:paraId="367CA07D">
      <w:pPr>
        <w:spacing w:line="360" w:lineRule="auto"/>
        <w:ind w:firstLine="480" w:firstLineChars="200"/>
        <w:rPr>
          <w:bCs/>
          <w:sz w:val="24"/>
        </w:rPr>
      </w:pPr>
      <w:r>
        <w:rPr>
          <w:bCs/>
          <w:sz w:val="24"/>
        </w:rPr>
        <w:t>（24）基金管理人在募集期间未能达到基金</w:t>
      </w:r>
      <w:bookmarkStart w:id="158" w:name="_Hlt88823209"/>
      <w:bookmarkEnd w:id="15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6625A0F1">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14:paraId="4C9C2CF8">
      <w:pPr>
        <w:spacing w:line="360" w:lineRule="auto"/>
        <w:ind w:firstLine="480" w:firstLineChars="200"/>
        <w:rPr>
          <w:bCs/>
          <w:sz w:val="24"/>
        </w:rPr>
      </w:pPr>
      <w:r>
        <w:rPr>
          <w:bCs/>
          <w:sz w:val="24"/>
        </w:rPr>
        <w:t>（26）建立并保存基金份额持有人名册；</w:t>
      </w:r>
    </w:p>
    <w:p w14:paraId="1E7603C2">
      <w:pPr>
        <w:spacing w:line="360" w:lineRule="auto"/>
        <w:ind w:firstLine="480" w:firstLineChars="200"/>
        <w:rPr>
          <w:bCs/>
          <w:sz w:val="24"/>
        </w:rPr>
      </w:pPr>
      <w:r>
        <w:rPr>
          <w:bCs/>
          <w:sz w:val="24"/>
        </w:rPr>
        <w:t>（27）法律法规及中国证监会规定的和《基金合同》约定的其他义务。</w:t>
      </w:r>
    </w:p>
    <w:p w14:paraId="307ADEE7">
      <w:pPr>
        <w:spacing w:line="360" w:lineRule="auto"/>
        <w:ind w:firstLine="480" w:firstLineChars="200"/>
        <w:rPr>
          <w:bCs/>
          <w:sz w:val="24"/>
        </w:rPr>
      </w:pPr>
      <w:bookmarkStart w:id="159" w:name="_Toc79392581"/>
      <w:bookmarkStart w:id="160" w:name="_Toc57530240"/>
      <w:bookmarkStart w:id="161" w:name="_Toc15118238"/>
      <w:r>
        <w:rPr>
          <w:bCs/>
          <w:sz w:val="24"/>
        </w:rPr>
        <w:t>二、基金托管人</w:t>
      </w:r>
      <w:bookmarkEnd w:id="156"/>
      <w:bookmarkEnd w:id="159"/>
      <w:bookmarkEnd w:id="160"/>
      <w:bookmarkEnd w:id="161"/>
    </w:p>
    <w:p w14:paraId="74C60AF2">
      <w:pPr>
        <w:spacing w:line="360" w:lineRule="auto"/>
        <w:ind w:firstLine="480" w:firstLineChars="200"/>
        <w:rPr>
          <w:bCs/>
          <w:sz w:val="24"/>
        </w:rPr>
      </w:pPr>
      <w:bookmarkStart w:id="162" w:name="_Toc15118239"/>
      <w:r>
        <w:rPr>
          <w:bCs/>
          <w:sz w:val="24"/>
        </w:rPr>
        <w:t>（一）</w:t>
      </w:r>
      <w:r>
        <w:rPr>
          <w:bCs/>
          <w:sz w:val="24"/>
        </w:rPr>
        <w:tab/>
      </w:r>
      <w:r>
        <w:rPr>
          <w:bCs/>
          <w:sz w:val="24"/>
        </w:rPr>
        <w:t>基金托管人简况</w:t>
      </w:r>
      <w:bookmarkEnd w:id="162"/>
    </w:p>
    <w:p w14:paraId="6C9EED9B">
      <w:pPr>
        <w:spacing w:line="360" w:lineRule="auto"/>
        <w:ind w:firstLine="480" w:firstLineChars="200"/>
        <w:rPr>
          <w:bCs/>
          <w:sz w:val="24"/>
        </w:rPr>
      </w:pPr>
      <w:r>
        <w:rPr>
          <w:rFonts w:hint="eastAsia"/>
          <w:bCs/>
          <w:sz w:val="24"/>
        </w:rPr>
        <w:t>名称：中国建设银行股份有限公司</w:t>
      </w:r>
    </w:p>
    <w:p w14:paraId="280E51B7">
      <w:pPr>
        <w:spacing w:line="360" w:lineRule="auto"/>
        <w:ind w:firstLine="480" w:firstLineChars="200"/>
        <w:rPr>
          <w:bCs/>
          <w:sz w:val="24"/>
        </w:rPr>
      </w:pPr>
      <w:r>
        <w:rPr>
          <w:rFonts w:hint="eastAsia"/>
          <w:bCs/>
          <w:sz w:val="24"/>
        </w:rPr>
        <w:t>住所：北京市西城区金融大街25号</w:t>
      </w:r>
    </w:p>
    <w:p w14:paraId="48619D71">
      <w:pPr>
        <w:spacing w:line="360" w:lineRule="auto"/>
        <w:ind w:firstLine="480" w:firstLineChars="200"/>
        <w:rPr>
          <w:bCs/>
          <w:sz w:val="24"/>
        </w:rPr>
      </w:pPr>
      <w:r>
        <w:rPr>
          <w:rFonts w:hint="eastAsia"/>
          <w:bCs/>
          <w:sz w:val="24"/>
        </w:rPr>
        <w:t>法定代表人：张金良</w:t>
      </w:r>
    </w:p>
    <w:p w14:paraId="63E1C839">
      <w:pPr>
        <w:spacing w:line="360" w:lineRule="auto"/>
        <w:ind w:firstLine="480" w:firstLineChars="200"/>
        <w:rPr>
          <w:bCs/>
          <w:sz w:val="24"/>
        </w:rPr>
      </w:pPr>
      <w:r>
        <w:rPr>
          <w:rFonts w:hint="eastAsia"/>
          <w:bCs/>
          <w:sz w:val="24"/>
        </w:rPr>
        <w:t>成立时间：2004年09月17日</w:t>
      </w:r>
    </w:p>
    <w:p w14:paraId="67CB1A2E">
      <w:pPr>
        <w:spacing w:line="360" w:lineRule="auto"/>
        <w:ind w:firstLine="480" w:firstLineChars="200"/>
        <w:rPr>
          <w:bCs/>
          <w:sz w:val="24"/>
        </w:rPr>
      </w:pPr>
      <w:r>
        <w:rPr>
          <w:rFonts w:hint="eastAsia"/>
          <w:bCs/>
          <w:sz w:val="24"/>
        </w:rPr>
        <w:t>批准设立机关和批准设立文号：中国银行业监督管理委员会银监复[2004]143号</w:t>
      </w:r>
    </w:p>
    <w:p w14:paraId="75B850FE">
      <w:pPr>
        <w:spacing w:line="360" w:lineRule="auto"/>
        <w:ind w:firstLine="480" w:firstLineChars="200"/>
        <w:rPr>
          <w:bCs/>
          <w:sz w:val="24"/>
        </w:rPr>
      </w:pPr>
      <w:r>
        <w:rPr>
          <w:rFonts w:hint="eastAsia"/>
          <w:bCs/>
          <w:sz w:val="24"/>
        </w:rPr>
        <w:t>组织形式：股份有限公司</w:t>
      </w:r>
    </w:p>
    <w:p w14:paraId="3B080AE6">
      <w:pPr>
        <w:spacing w:line="360" w:lineRule="auto"/>
        <w:ind w:firstLine="480" w:firstLineChars="200"/>
        <w:rPr>
          <w:bCs/>
          <w:sz w:val="24"/>
        </w:rPr>
      </w:pPr>
      <w:r>
        <w:rPr>
          <w:rFonts w:hint="eastAsia"/>
          <w:bCs/>
          <w:sz w:val="24"/>
        </w:rPr>
        <w:t>注册资本：贰仟伍佰亿壹仟零玖拾柒万柒仟肆佰捌拾陆元整</w:t>
      </w:r>
    </w:p>
    <w:p w14:paraId="3E96DF50">
      <w:pPr>
        <w:spacing w:line="360" w:lineRule="auto"/>
        <w:ind w:firstLine="480" w:firstLineChars="200"/>
        <w:rPr>
          <w:bCs/>
          <w:sz w:val="24"/>
        </w:rPr>
      </w:pPr>
      <w:r>
        <w:rPr>
          <w:rFonts w:hint="eastAsia"/>
          <w:bCs/>
          <w:sz w:val="24"/>
        </w:rPr>
        <w:t>存续期间：持续经营</w:t>
      </w:r>
    </w:p>
    <w:p w14:paraId="3D01DE06">
      <w:pPr>
        <w:spacing w:line="360" w:lineRule="auto"/>
        <w:ind w:firstLine="480" w:firstLineChars="200"/>
        <w:rPr>
          <w:bCs/>
          <w:sz w:val="24"/>
        </w:rPr>
      </w:pPr>
      <w:r>
        <w:rPr>
          <w:rFonts w:hint="eastAsia"/>
          <w:bCs/>
          <w:sz w:val="24"/>
        </w:rPr>
        <w:t>基金托管资格批文及文号：中国证监会证监基字[1998]12号</w:t>
      </w:r>
    </w:p>
    <w:p w14:paraId="0BAF5D7B">
      <w:pPr>
        <w:spacing w:line="360" w:lineRule="auto"/>
        <w:ind w:firstLine="480" w:firstLineChars="200"/>
        <w:rPr>
          <w:bCs/>
          <w:sz w:val="24"/>
        </w:rPr>
      </w:pPr>
      <w:bookmarkStart w:id="163" w:name="_Toc15118240"/>
      <w:r>
        <w:rPr>
          <w:bCs/>
          <w:sz w:val="24"/>
        </w:rPr>
        <w:t>（二）</w:t>
      </w:r>
      <w:r>
        <w:rPr>
          <w:bCs/>
          <w:sz w:val="24"/>
        </w:rPr>
        <w:tab/>
      </w:r>
      <w:r>
        <w:rPr>
          <w:bCs/>
          <w:sz w:val="24"/>
        </w:rPr>
        <w:t>基金托管人的权利与义务</w:t>
      </w:r>
      <w:bookmarkEnd w:id="163"/>
    </w:p>
    <w:p w14:paraId="61A1EE3B">
      <w:pPr>
        <w:spacing w:line="360" w:lineRule="auto"/>
        <w:ind w:firstLine="480" w:firstLineChars="200"/>
        <w:rPr>
          <w:bCs/>
          <w:sz w:val="24"/>
        </w:rPr>
      </w:pPr>
      <w:r>
        <w:rPr>
          <w:bCs/>
          <w:sz w:val="24"/>
        </w:rPr>
        <w:t>1、根据《基金法》、《运作办法》及其他有关规定，基金托管人的权利包括但不限于：</w:t>
      </w:r>
    </w:p>
    <w:p w14:paraId="1C3D3044">
      <w:pPr>
        <w:spacing w:line="360" w:lineRule="auto"/>
        <w:ind w:firstLine="480" w:firstLineChars="200"/>
        <w:rPr>
          <w:bCs/>
          <w:sz w:val="24"/>
        </w:rPr>
      </w:pPr>
      <w:r>
        <w:rPr>
          <w:bCs/>
          <w:sz w:val="24"/>
        </w:rPr>
        <w:t>（1）自《基金合同》生效之日起，依法律法规和《基金合同》的规定安全保管基金财产；</w:t>
      </w:r>
    </w:p>
    <w:p w14:paraId="72716A94">
      <w:pPr>
        <w:spacing w:line="360" w:lineRule="auto"/>
        <w:ind w:firstLine="480" w:firstLineChars="200"/>
        <w:rPr>
          <w:bCs/>
          <w:sz w:val="24"/>
        </w:rPr>
      </w:pPr>
      <w:r>
        <w:rPr>
          <w:bCs/>
          <w:sz w:val="24"/>
        </w:rPr>
        <w:t>（2）依《基金合同》约定获得基金托管费以及法律法规规定或监管部门批准的其他费用；</w:t>
      </w:r>
    </w:p>
    <w:p w14:paraId="0412B3B8">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C85485F">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p>
    <w:p w14:paraId="00365D00">
      <w:pPr>
        <w:spacing w:line="360" w:lineRule="auto"/>
        <w:ind w:firstLine="480" w:firstLineChars="200"/>
        <w:rPr>
          <w:bCs/>
          <w:sz w:val="24"/>
        </w:rPr>
      </w:pPr>
      <w:r>
        <w:rPr>
          <w:bCs/>
          <w:sz w:val="24"/>
        </w:rPr>
        <w:t>（5）提议召开或召集基金份额持有人大会；</w:t>
      </w:r>
    </w:p>
    <w:p w14:paraId="409A7F79">
      <w:pPr>
        <w:spacing w:line="360" w:lineRule="auto"/>
        <w:ind w:firstLine="480" w:firstLineChars="200"/>
        <w:rPr>
          <w:bCs/>
          <w:sz w:val="24"/>
        </w:rPr>
      </w:pPr>
      <w:r>
        <w:rPr>
          <w:bCs/>
          <w:sz w:val="24"/>
        </w:rPr>
        <w:t>（6）在基金管理人更换时，提名新的基金管理人；</w:t>
      </w:r>
    </w:p>
    <w:p w14:paraId="021920D3">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14:paraId="190CF4AE">
      <w:pPr>
        <w:spacing w:line="360" w:lineRule="auto"/>
        <w:ind w:firstLine="480" w:firstLineChars="200"/>
        <w:rPr>
          <w:bCs/>
          <w:sz w:val="24"/>
        </w:rPr>
      </w:pPr>
      <w:r>
        <w:rPr>
          <w:bCs/>
          <w:sz w:val="24"/>
        </w:rPr>
        <w:t>2、根据《基金法》、《运作办法》及其他有关规定，基金托管人的义务包括但不限于：</w:t>
      </w:r>
    </w:p>
    <w:p w14:paraId="21136945">
      <w:pPr>
        <w:spacing w:line="360" w:lineRule="auto"/>
        <w:ind w:firstLine="480" w:firstLineChars="200"/>
        <w:rPr>
          <w:bCs/>
          <w:sz w:val="24"/>
        </w:rPr>
      </w:pPr>
      <w:r>
        <w:rPr>
          <w:bCs/>
          <w:sz w:val="24"/>
        </w:rPr>
        <w:t>（1）以诚实信用、勤勉尽责的原则持有并安全保管基金财产；</w:t>
      </w:r>
    </w:p>
    <w:p w14:paraId="00BA2D13">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14:paraId="015FDD71">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5BED99E">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14:paraId="15AF7620">
      <w:pPr>
        <w:spacing w:line="360" w:lineRule="auto"/>
        <w:ind w:firstLine="480" w:firstLineChars="200"/>
        <w:rPr>
          <w:bCs/>
          <w:sz w:val="24"/>
        </w:rPr>
      </w:pPr>
      <w:r>
        <w:rPr>
          <w:bCs/>
          <w:sz w:val="24"/>
        </w:rPr>
        <w:t>（5）保管由基金管理人代表基金签订的与基金有关的重大合同及有关凭证；</w:t>
      </w:r>
    </w:p>
    <w:p w14:paraId="07536E30">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及投资所需的其他账户，</w:t>
      </w:r>
      <w:r>
        <w:rPr>
          <w:bCs/>
          <w:sz w:val="24"/>
        </w:rPr>
        <w:t>按照《基金合同》的约定，根据基金管理人的投资指令，及时办理清算、交割事宜；</w:t>
      </w:r>
    </w:p>
    <w:p w14:paraId="26B6E2A2">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14:paraId="5121275C">
      <w:pPr>
        <w:spacing w:line="360" w:lineRule="auto"/>
        <w:ind w:firstLine="480" w:firstLineChars="200"/>
        <w:rPr>
          <w:bCs/>
          <w:sz w:val="24"/>
        </w:rPr>
      </w:pPr>
      <w:r>
        <w:rPr>
          <w:bCs/>
          <w:sz w:val="24"/>
        </w:rPr>
        <w:t>（8）复核、审查基金管理人计算的基金资产净值、</w:t>
      </w:r>
      <w:r>
        <w:rPr>
          <w:rFonts w:hint="eastAsia"/>
          <w:bCs/>
          <w:sz w:val="24"/>
        </w:rPr>
        <w:t>各类基金份额净值、</w:t>
      </w:r>
      <w:r>
        <w:rPr>
          <w:bCs/>
          <w:sz w:val="24"/>
        </w:rPr>
        <w:t>基金份额申购、赎回价格；</w:t>
      </w:r>
    </w:p>
    <w:p w14:paraId="7FEFCB56">
      <w:pPr>
        <w:spacing w:line="360" w:lineRule="auto"/>
        <w:ind w:firstLine="480" w:firstLineChars="200"/>
        <w:rPr>
          <w:bCs/>
          <w:sz w:val="24"/>
        </w:rPr>
      </w:pPr>
      <w:r>
        <w:rPr>
          <w:bCs/>
          <w:sz w:val="24"/>
        </w:rPr>
        <w:t>（9）办理与基金托管业务活动有关的信息披露事项；</w:t>
      </w:r>
    </w:p>
    <w:p w14:paraId="2D58970F">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AA7D4D2">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14:paraId="539C42DF">
      <w:pPr>
        <w:spacing w:line="360" w:lineRule="auto"/>
        <w:ind w:firstLine="480" w:firstLineChars="200"/>
        <w:rPr>
          <w:bCs/>
          <w:sz w:val="24"/>
        </w:rPr>
      </w:pPr>
      <w:r>
        <w:rPr>
          <w:bCs/>
          <w:sz w:val="24"/>
        </w:rPr>
        <w:t>（12）建立并保存基金份额持有人名册；</w:t>
      </w:r>
    </w:p>
    <w:p w14:paraId="2CBE42E6">
      <w:pPr>
        <w:spacing w:line="360" w:lineRule="auto"/>
        <w:ind w:firstLine="480" w:firstLineChars="200"/>
        <w:rPr>
          <w:bCs/>
          <w:sz w:val="24"/>
        </w:rPr>
      </w:pPr>
      <w:r>
        <w:rPr>
          <w:bCs/>
          <w:sz w:val="24"/>
        </w:rPr>
        <w:t>（13）按规定制作相关账册并与基金管理人核对；</w:t>
      </w:r>
    </w:p>
    <w:p w14:paraId="1A193BE3">
      <w:pPr>
        <w:spacing w:line="360" w:lineRule="auto"/>
        <w:ind w:firstLine="480" w:firstLineChars="200"/>
        <w:rPr>
          <w:bCs/>
          <w:sz w:val="24"/>
        </w:rPr>
      </w:pPr>
      <w:r>
        <w:rPr>
          <w:bCs/>
          <w:sz w:val="24"/>
        </w:rPr>
        <w:t>（14）依据基金管理人的指令或有关规定向基金份额持有人支付基金收益和赎回款项；</w:t>
      </w:r>
    </w:p>
    <w:p w14:paraId="551B2E22">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EC5B0D0">
      <w:pPr>
        <w:spacing w:line="360" w:lineRule="auto"/>
        <w:ind w:firstLine="480" w:firstLineChars="200"/>
        <w:rPr>
          <w:bCs/>
          <w:sz w:val="24"/>
        </w:rPr>
      </w:pPr>
      <w:r>
        <w:rPr>
          <w:bCs/>
          <w:sz w:val="24"/>
        </w:rPr>
        <w:t>（16）按照法律法规和《基金合同》的规定监督基金管理人的投资运作；</w:t>
      </w:r>
    </w:p>
    <w:p w14:paraId="511CC299">
      <w:pPr>
        <w:spacing w:line="360" w:lineRule="auto"/>
        <w:ind w:firstLine="480" w:firstLineChars="200"/>
        <w:rPr>
          <w:bCs/>
          <w:sz w:val="24"/>
        </w:rPr>
      </w:pPr>
      <w:r>
        <w:rPr>
          <w:bCs/>
          <w:sz w:val="24"/>
        </w:rPr>
        <w:t>（17）参加基金财产清算小组，参与基金财产的保管、清理、估价、变现和分配；</w:t>
      </w:r>
    </w:p>
    <w:p w14:paraId="576259C6">
      <w:pPr>
        <w:spacing w:line="360" w:lineRule="auto"/>
        <w:ind w:firstLine="480" w:firstLineChars="200"/>
        <w:rPr>
          <w:bCs/>
          <w:sz w:val="24"/>
        </w:rPr>
      </w:pPr>
      <w:r>
        <w:rPr>
          <w:bCs/>
          <w:sz w:val="24"/>
        </w:rPr>
        <w:t>（18）面临解散、依法被撤销或者被依法宣告破产时，及时报告中国证监会和</w:t>
      </w:r>
      <w:r>
        <w:rPr>
          <w:rFonts w:hint="eastAsia"/>
          <w:bCs/>
          <w:sz w:val="24"/>
        </w:rPr>
        <w:t>银行监管机构</w:t>
      </w:r>
      <w:r>
        <w:rPr>
          <w:bCs/>
          <w:sz w:val="24"/>
        </w:rPr>
        <w:t>，并通知基金管理人；</w:t>
      </w:r>
    </w:p>
    <w:p w14:paraId="731AD3DF">
      <w:pPr>
        <w:spacing w:line="360" w:lineRule="auto"/>
        <w:ind w:firstLine="480" w:firstLineChars="200"/>
        <w:rPr>
          <w:bCs/>
          <w:sz w:val="24"/>
        </w:rPr>
      </w:pPr>
      <w:r>
        <w:rPr>
          <w:bCs/>
          <w:sz w:val="24"/>
        </w:rPr>
        <w:t>（19）因违反《基金合同》导致基金财产损失时，应承担赔偿责任，其赔偿责任不因其退任而免除；</w:t>
      </w:r>
    </w:p>
    <w:p w14:paraId="673F1522">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4" w:name="_Hlt88825668"/>
      <w:bookmarkEnd w:id="164"/>
      <w:r>
        <w:rPr>
          <w:bCs/>
          <w:sz w:val="24"/>
        </w:rPr>
        <w:t>；</w:t>
      </w:r>
    </w:p>
    <w:p w14:paraId="7A1AB4C1">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14:paraId="6D955688">
      <w:pPr>
        <w:spacing w:line="360" w:lineRule="auto"/>
        <w:ind w:firstLine="480" w:firstLineChars="200"/>
        <w:rPr>
          <w:bCs/>
          <w:sz w:val="24"/>
        </w:rPr>
      </w:pPr>
      <w:r>
        <w:rPr>
          <w:bCs/>
          <w:sz w:val="24"/>
        </w:rPr>
        <w:t>（22）</w:t>
      </w:r>
      <w:bookmarkStart w:id="165" w:name="_Toc523711670"/>
      <w:r>
        <w:rPr>
          <w:bCs/>
          <w:sz w:val="24"/>
        </w:rPr>
        <w:t>法律法规及中国证监会规定的和《基金合同》约定的其他义务。</w:t>
      </w:r>
    </w:p>
    <w:bookmarkEnd w:id="165"/>
    <w:p w14:paraId="15259A84">
      <w:pPr>
        <w:spacing w:line="360" w:lineRule="auto"/>
        <w:ind w:firstLine="480" w:firstLineChars="200"/>
        <w:rPr>
          <w:bCs/>
          <w:sz w:val="24"/>
        </w:rPr>
      </w:pPr>
      <w:bookmarkStart w:id="166" w:name="_Toc79392582"/>
      <w:r>
        <w:rPr>
          <w:bCs/>
          <w:sz w:val="24"/>
        </w:rPr>
        <w:t>三、基金份额持有人</w:t>
      </w:r>
      <w:bookmarkEnd w:id="166"/>
    </w:p>
    <w:p w14:paraId="5EA57E36">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7" w:name="_Hlt88899909"/>
      <w:bookmarkEnd w:id="16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DE7C9AB">
      <w:pPr>
        <w:spacing w:line="360" w:lineRule="auto"/>
        <w:ind w:firstLine="480" w:firstLineChars="200"/>
        <w:rPr>
          <w:bCs/>
          <w:sz w:val="24"/>
        </w:rPr>
      </w:pPr>
      <w:r>
        <w:rPr>
          <w:rFonts w:hint="eastAsia"/>
          <w:bCs/>
          <w:sz w:val="24"/>
        </w:rPr>
        <w:t>除法律法规另有规定或本基金合同另有约定外，同一类别内</w:t>
      </w:r>
      <w:r>
        <w:rPr>
          <w:bCs/>
          <w:sz w:val="24"/>
        </w:rPr>
        <w:t>每份基金份额具有同等的合法权益。</w:t>
      </w:r>
    </w:p>
    <w:p w14:paraId="103055C1">
      <w:pPr>
        <w:spacing w:line="360" w:lineRule="auto"/>
        <w:ind w:firstLine="480" w:firstLineChars="200"/>
        <w:rPr>
          <w:bCs/>
          <w:sz w:val="24"/>
        </w:rPr>
      </w:pPr>
      <w:r>
        <w:rPr>
          <w:bCs/>
          <w:sz w:val="24"/>
        </w:rPr>
        <w:t>1、根据《基金法》、《运作办法》及其他有关规定，基金份额持有人的权利包括但不限于：</w:t>
      </w:r>
    </w:p>
    <w:p w14:paraId="29567C2C">
      <w:pPr>
        <w:spacing w:line="360" w:lineRule="auto"/>
        <w:ind w:firstLine="480" w:firstLineChars="200"/>
        <w:rPr>
          <w:bCs/>
          <w:sz w:val="24"/>
        </w:rPr>
      </w:pPr>
      <w:r>
        <w:rPr>
          <w:bCs/>
          <w:sz w:val="24"/>
        </w:rPr>
        <w:t>（1）分享基金财产收益；</w:t>
      </w:r>
    </w:p>
    <w:p w14:paraId="75E65A28">
      <w:pPr>
        <w:spacing w:line="360" w:lineRule="auto"/>
        <w:ind w:firstLine="480" w:firstLineChars="200"/>
        <w:rPr>
          <w:bCs/>
          <w:sz w:val="24"/>
        </w:rPr>
      </w:pPr>
      <w:r>
        <w:rPr>
          <w:bCs/>
          <w:sz w:val="24"/>
        </w:rPr>
        <w:t>（2）参与分配清算后的剩余基金财产；</w:t>
      </w:r>
      <w:bookmarkStart w:id="168" w:name="_Hlt88825574"/>
      <w:bookmarkEnd w:id="168"/>
    </w:p>
    <w:p w14:paraId="211D96E3">
      <w:pPr>
        <w:spacing w:line="360" w:lineRule="auto"/>
        <w:ind w:firstLine="480" w:firstLineChars="200"/>
        <w:rPr>
          <w:bCs/>
          <w:sz w:val="24"/>
        </w:rPr>
      </w:pPr>
      <w:r>
        <w:rPr>
          <w:bCs/>
          <w:sz w:val="24"/>
        </w:rPr>
        <w:t>（3）依法申请赎回其持有的基金份额；</w:t>
      </w:r>
    </w:p>
    <w:p w14:paraId="07323ABD">
      <w:pPr>
        <w:spacing w:line="360" w:lineRule="auto"/>
        <w:ind w:firstLine="480" w:firstLineChars="200"/>
        <w:rPr>
          <w:bCs/>
          <w:sz w:val="24"/>
        </w:rPr>
      </w:pPr>
      <w:r>
        <w:rPr>
          <w:bCs/>
          <w:sz w:val="24"/>
        </w:rPr>
        <w:t>（4）按照规定要求召开基金份额持有人大会</w:t>
      </w:r>
      <w:r>
        <w:rPr>
          <w:rFonts w:hint="eastAsia"/>
          <w:bCs/>
          <w:sz w:val="24"/>
        </w:rPr>
        <w:t>或召集基金份额持有人大会</w:t>
      </w:r>
      <w:r>
        <w:rPr>
          <w:bCs/>
          <w:sz w:val="24"/>
        </w:rPr>
        <w:t>；</w:t>
      </w:r>
    </w:p>
    <w:p w14:paraId="2D0427F2">
      <w:pPr>
        <w:spacing w:line="360" w:lineRule="auto"/>
        <w:ind w:firstLine="480" w:firstLineChars="200"/>
        <w:rPr>
          <w:bCs/>
          <w:sz w:val="24"/>
        </w:rPr>
      </w:pPr>
      <w:r>
        <w:rPr>
          <w:bCs/>
          <w:sz w:val="24"/>
        </w:rPr>
        <w:t>（5）出席或者委派代表出席基金份额持有人大会，对基金份额持有人大会审议事项行使表决权；</w:t>
      </w:r>
    </w:p>
    <w:p w14:paraId="137D4D1A">
      <w:pPr>
        <w:spacing w:line="360" w:lineRule="auto"/>
        <w:ind w:firstLine="480" w:firstLineChars="200"/>
        <w:rPr>
          <w:bCs/>
          <w:sz w:val="24"/>
        </w:rPr>
      </w:pPr>
      <w:r>
        <w:rPr>
          <w:bCs/>
          <w:sz w:val="24"/>
        </w:rPr>
        <w:t>（6）查阅或者复制公开披露的基金信息资料；</w:t>
      </w:r>
    </w:p>
    <w:p w14:paraId="49039E49">
      <w:pPr>
        <w:spacing w:line="360" w:lineRule="auto"/>
        <w:ind w:firstLine="480" w:firstLineChars="200"/>
        <w:rPr>
          <w:bCs/>
          <w:sz w:val="24"/>
        </w:rPr>
      </w:pPr>
      <w:r>
        <w:rPr>
          <w:bCs/>
          <w:sz w:val="24"/>
        </w:rPr>
        <w:t>（7）监督基金管理人的投资运作；</w:t>
      </w:r>
    </w:p>
    <w:p w14:paraId="2ADC2712">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14:paraId="5AD39B21">
      <w:pPr>
        <w:spacing w:line="360" w:lineRule="auto"/>
        <w:ind w:firstLine="480" w:firstLineChars="200"/>
        <w:rPr>
          <w:bCs/>
          <w:sz w:val="24"/>
        </w:rPr>
      </w:pPr>
      <w:r>
        <w:rPr>
          <w:bCs/>
          <w:sz w:val="24"/>
        </w:rPr>
        <w:t>（9）法律法规及中国证监会规定的和《基金合同》约定的其他权利。</w:t>
      </w:r>
    </w:p>
    <w:p w14:paraId="02F326AC">
      <w:pPr>
        <w:spacing w:line="360" w:lineRule="auto"/>
        <w:ind w:firstLine="480" w:firstLineChars="200"/>
        <w:rPr>
          <w:bCs/>
          <w:sz w:val="24"/>
        </w:rPr>
      </w:pPr>
      <w:r>
        <w:rPr>
          <w:bCs/>
          <w:sz w:val="24"/>
        </w:rPr>
        <w:t>2、根据《基金法》、《运作办法》及其他有关规定，基金份额持有人的义务包括但不限于：</w:t>
      </w:r>
    </w:p>
    <w:p w14:paraId="451F3441">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14:paraId="59247C0E">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14:paraId="67B7F8C7">
      <w:pPr>
        <w:spacing w:line="360" w:lineRule="auto"/>
        <w:ind w:firstLine="480" w:firstLineChars="200"/>
        <w:rPr>
          <w:bCs/>
          <w:sz w:val="24"/>
        </w:rPr>
      </w:pPr>
      <w:r>
        <w:rPr>
          <w:bCs/>
          <w:sz w:val="24"/>
        </w:rPr>
        <w:t>（3）关注基金信息披露，及时行使权利和履行义务；</w:t>
      </w:r>
    </w:p>
    <w:p w14:paraId="17CFE661">
      <w:pPr>
        <w:spacing w:line="360" w:lineRule="auto"/>
        <w:ind w:firstLine="480" w:firstLineChars="200"/>
        <w:rPr>
          <w:bCs/>
          <w:sz w:val="24"/>
        </w:rPr>
      </w:pPr>
      <w:r>
        <w:rPr>
          <w:bCs/>
          <w:sz w:val="24"/>
        </w:rPr>
        <w:t>（4）缴纳基金认购、申购款项及法律法规和《基金合同》所规定的费用；</w:t>
      </w:r>
    </w:p>
    <w:p w14:paraId="1DC5C2ED">
      <w:pPr>
        <w:spacing w:line="360" w:lineRule="auto"/>
        <w:ind w:firstLine="480" w:firstLineChars="200"/>
        <w:rPr>
          <w:bCs/>
          <w:sz w:val="24"/>
        </w:rPr>
      </w:pPr>
      <w:r>
        <w:rPr>
          <w:bCs/>
          <w:sz w:val="24"/>
        </w:rPr>
        <w:t>（5）在其持有的基金份额范围内，承担基金亏损或者《基金合同》终止的有限责任；</w:t>
      </w:r>
    </w:p>
    <w:p w14:paraId="46D3AD9A">
      <w:pPr>
        <w:spacing w:line="360" w:lineRule="auto"/>
        <w:ind w:firstLine="480" w:firstLineChars="200"/>
        <w:rPr>
          <w:bCs/>
          <w:sz w:val="24"/>
        </w:rPr>
      </w:pPr>
      <w:r>
        <w:rPr>
          <w:bCs/>
          <w:sz w:val="24"/>
        </w:rPr>
        <w:t>（6）不从事任何有损基金及其他《基金合同》当事人合法权益的活动；</w:t>
      </w:r>
    </w:p>
    <w:p w14:paraId="41B7CCEE">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14:paraId="433D9416">
      <w:pPr>
        <w:spacing w:line="360" w:lineRule="auto"/>
        <w:ind w:firstLine="480" w:firstLineChars="200"/>
        <w:rPr>
          <w:bCs/>
          <w:sz w:val="24"/>
        </w:rPr>
      </w:pPr>
      <w:r>
        <w:rPr>
          <w:bCs/>
          <w:sz w:val="24"/>
        </w:rPr>
        <w:t>（8）返还在基金交易过程中因任何原因获得的不当得利；</w:t>
      </w:r>
    </w:p>
    <w:p w14:paraId="2C66F0BA">
      <w:pPr>
        <w:spacing w:line="360" w:lineRule="auto"/>
        <w:ind w:firstLine="480" w:firstLineChars="200"/>
        <w:rPr>
          <w:bCs/>
          <w:sz w:val="24"/>
        </w:rPr>
      </w:pPr>
      <w:r>
        <w:rPr>
          <w:bCs/>
          <w:sz w:val="24"/>
        </w:rPr>
        <w:t>（9）法律法规及中国证监会规定的和《基金合同》约定的其他义务。</w:t>
      </w:r>
    </w:p>
    <w:p w14:paraId="042DD628">
      <w:pPr>
        <w:pStyle w:val="2"/>
        <w:spacing w:before="0" w:after="0"/>
        <w:jc w:val="center"/>
        <w:rPr>
          <w:rFonts w:ascii="Times New Roman"/>
          <w:color w:val="auto"/>
          <w:sz w:val="30"/>
        </w:rPr>
      </w:pPr>
      <w:r>
        <w:rPr>
          <w:rFonts w:ascii="Times New Roman"/>
          <w:b w:val="0"/>
          <w:bCs/>
          <w:color w:val="auto"/>
        </w:rPr>
        <w:br w:type="page"/>
      </w:r>
      <w:bookmarkStart w:id="169" w:name="_Toc6447"/>
      <w:bookmarkStart w:id="170" w:name="_Toc20768"/>
      <w:bookmarkStart w:id="171" w:name="_Toc141703888"/>
      <w:bookmarkStart w:id="172" w:name="_Toc25783"/>
      <w:bookmarkStart w:id="173" w:name="_Toc3771"/>
      <w:bookmarkStart w:id="174" w:name="_Toc9706"/>
      <w:bookmarkStart w:id="175" w:name="_Toc3321"/>
      <w:bookmarkStart w:id="176" w:name="_Toc123112236"/>
      <w:bookmarkStart w:id="177" w:name="_Toc10650"/>
      <w:bookmarkStart w:id="178" w:name="_Toc123102455"/>
      <w:bookmarkStart w:id="179" w:name="_Toc139991738"/>
      <w:bookmarkStart w:id="180" w:name="_Toc79392583"/>
      <w:bookmarkStart w:id="181" w:name="_Toc123051454"/>
      <w:bookmarkStart w:id="182" w:name="_Toc98560354"/>
      <w:bookmarkStart w:id="183" w:name="_Toc18567"/>
      <w:bookmarkStart w:id="184" w:name="_Toc11030"/>
      <w:bookmarkStart w:id="185" w:name="_Toc7058"/>
      <w:bookmarkStart w:id="186" w:name="_Toc4559"/>
      <w:r>
        <w:rPr>
          <w:rFonts w:ascii="Times New Roman"/>
          <w:color w:val="auto"/>
          <w:sz w:val="30"/>
        </w:rPr>
        <w:t>第八部分  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D7D740D">
      <w:pPr>
        <w:tabs>
          <w:tab w:val="left" w:pos="1080"/>
        </w:tabs>
        <w:spacing w:line="360" w:lineRule="auto"/>
        <w:ind w:left="1075" w:leftChars="199" w:hanging="657" w:hangingChars="274"/>
        <w:rPr>
          <w:bCs/>
          <w:sz w:val="24"/>
        </w:rPr>
      </w:pPr>
    </w:p>
    <w:p w14:paraId="00DA076B">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bCs/>
          <w:sz w:val="24"/>
        </w:rPr>
        <w:t>基金份额持有人持有的</w:t>
      </w:r>
      <w:r>
        <w:rPr>
          <w:rFonts w:hint="eastAsia"/>
          <w:bCs/>
          <w:sz w:val="24"/>
        </w:rPr>
        <w:t>同一类别内</w:t>
      </w:r>
      <w:r>
        <w:rPr>
          <w:bCs/>
          <w:sz w:val="24"/>
        </w:rPr>
        <w:t>每一基金份额拥有平等的投票权。</w:t>
      </w:r>
    </w:p>
    <w:p w14:paraId="475B4E8A">
      <w:pPr>
        <w:spacing w:line="360" w:lineRule="auto"/>
        <w:ind w:firstLine="480" w:firstLineChars="200"/>
        <w:rPr>
          <w:bCs/>
          <w:sz w:val="24"/>
        </w:rPr>
      </w:pPr>
      <w:bookmarkStart w:id="187" w:name="_Toc57530243"/>
      <w:bookmarkStart w:id="188" w:name="_Toc15641220"/>
      <w:bookmarkStart w:id="189" w:name="_Toc79392584"/>
      <w:r>
        <w:rPr>
          <w:bCs/>
          <w:sz w:val="24"/>
        </w:rPr>
        <w:t>一、召开事由</w:t>
      </w:r>
      <w:bookmarkEnd w:id="187"/>
      <w:bookmarkEnd w:id="188"/>
      <w:bookmarkEnd w:id="189"/>
    </w:p>
    <w:p w14:paraId="14E0E698">
      <w:pPr>
        <w:spacing w:line="360" w:lineRule="auto"/>
        <w:ind w:firstLine="480" w:firstLineChars="200"/>
        <w:rPr>
          <w:bCs/>
          <w:sz w:val="24"/>
        </w:rPr>
      </w:pPr>
      <w:r>
        <w:rPr>
          <w:bCs/>
          <w:sz w:val="24"/>
        </w:rPr>
        <w:t>1、</w:t>
      </w:r>
      <w:r>
        <w:rPr>
          <w:rFonts w:hint="eastAsia"/>
          <w:bCs/>
          <w:sz w:val="24"/>
        </w:rPr>
        <w:t>除法律法规、中国证监会另有规定的除外，</w:t>
      </w:r>
      <w:r>
        <w:rPr>
          <w:bCs/>
          <w:sz w:val="24"/>
        </w:rPr>
        <w:t>当出现或需要决定下列事由之一的，应当召开基金份额持有人大会：</w:t>
      </w:r>
    </w:p>
    <w:p w14:paraId="12FB07B9">
      <w:pPr>
        <w:spacing w:line="440" w:lineRule="atLeast"/>
        <w:ind w:firstLine="480" w:firstLineChars="200"/>
        <w:rPr>
          <w:bCs/>
          <w:sz w:val="24"/>
        </w:rPr>
      </w:pPr>
      <w:r>
        <w:rPr>
          <w:bCs/>
          <w:sz w:val="24"/>
        </w:rPr>
        <w:t>（1）终止《基金合同》；</w:t>
      </w:r>
    </w:p>
    <w:p w14:paraId="43640804">
      <w:pPr>
        <w:spacing w:line="440" w:lineRule="atLeast"/>
        <w:ind w:firstLine="480" w:firstLineChars="200"/>
        <w:rPr>
          <w:bCs/>
          <w:sz w:val="24"/>
        </w:rPr>
      </w:pPr>
      <w:r>
        <w:rPr>
          <w:bCs/>
          <w:sz w:val="24"/>
        </w:rPr>
        <w:t>（2）更换基金管理人；</w:t>
      </w:r>
    </w:p>
    <w:p w14:paraId="6F946A0D">
      <w:pPr>
        <w:spacing w:line="440" w:lineRule="atLeast"/>
        <w:ind w:firstLine="480" w:firstLineChars="200"/>
        <w:rPr>
          <w:bCs/>
          <w:sz w:val="24"/>
        </w:rPr>
      </w:pPr>
      <w:r>
        <w:rPr>
          <w:bCs/>
          <w:sz w:val="24"/>
        </w:rPr>
        <w:t>（3）更换基金托管人；</w:t>
      </w:r>
    </w:p>
    <w:p w14:paraId="2BB56471">
      <w:pPr>
        <w:spacing w:line="440" w:lineRule="atLeast"/>
        <w:ind w:firstLine="480" w:firstLineChars="200"/>
        <w:rPr>
          <w:bCs/>
          <w:sz w:val="24"/>
        </w:rPr>
      </w:pPr>
      <w:r>
        <w:rPr>
          <w:bCs/>
          <w:sz w:val="24"/>
        </w:rPr>
        <w:t>（4）转换基金运作方式；</w:t>
      </w:r>
    </w:p>
    <w:p w14:paraId="68DB164B">
      <w:pPr>
        <w:spacing w:line="440" w:lineRule="atLeast"/>
        <w:ind w:firstLine="480" w:firstLineChars="200"/>
        <w:rPr>
          <w:bCs/>
          <w:sz w:val="24"/>
        </w:rPr>
      </w:pPr>
      <w:r>
        <w:rPr>
          <w:bCs/>
          <w:sz w:val="24"/>
        </w:rPr>
        <w:t>（5）提高基金管理人、基金托管人的报酬标准</w:t>
      </w:r>
      <w:r>
        <w:rPr>
          <w:rFonts w:hint="eastAsia"/>
          <w:bCs/>
          <w:sz w:val="24"/>
        </w:rPr>
        <w:t>或提高销售服务费</w:t>
      </w:r>
      <w:r>
        <w:rPr>
          <w:bCs/>
          <w:sz w:val="24"/>
        </w:rPr>
        <w:t>；</w:t>
      </w:r>
    </w:p>
    <w:p w14:paraId="37F333E2">
      <w:pPr>
        <w:spacing w:line="440" w:lineRule="atLeast"/>
        <w:ind w:firstLine="480" w:firstLineChars="200"/>
        <w:rPr>
          <w:bCs/>
          <w:sz w:val="24"/>
        </w:rPr>
      </w:pPr>
      <w:r>
        <w:rPr>
          <w:bCs/>
          <w:sz w:val="24"/>
        </w:rPr>
        <w:t>（6）变更基金类别；</w:t>
      </w:r>
    </w:p>
    <w:p w14:paraId="081A2984">
      <w:pPr>
        <w:spacing w:line="440" w:lineRule="atLeast"/>
        <w:ind w:firstLine="480" w:firstLineChars="200"/>
        <w:rPr>
          <w:bCs/>
          <w:sz w:val="24"/>
        </w:rPr>
      </w:pPr>
      <w:r>
        <w:rPr>
          <w:bCs/>
          <w:sz w:val="24"/>
        </w:rPr>
        <w:t>（7）本基金与其他基金的合并；</w:t>
      </w:r>
    </w:p>
    <w:p w14:paraId="6EB75A35">
      <w:pPr>
        <w:spacing w:line="440" w:lineRule="atLeast"/>
        <w:ind w:firstLine="480" w:firstLineChars="200"/>
        <w:rPr>
          <w:bCs/>
          <w:sz w:val="24"/>
        </w:rPr>
      </w:pPr>
      <w:r>
        <w:rPr>
          <w:bCs/>
          <w:sz w:val="24"/>
        </w:rPr>
        <w:t>（8）变更基金投资目标、范围或策略；</w:t>
      </w:r>
    </w:p>
    <w:p w14:paraId="0B0C985F">
      <w:pPr>
        <w:spacing w:line="440" w:lineRule="atLeast"/>
        <w:ind w:firstLine="480" w:firstLineChars="200"/>
        <w:rPr>
          <w:bCs/>
          <w:sz w:val="24"/>
        </w:rPr>
      </w:pPr>
      <w:r>
        <w:rPr>
          <w:bCs/>
          <w:sz w:val="24"/>
        </w:rPr>
        <w:t>（9）变更基金份额持有人大会程序；</w:t>
      </w:r>
    </w:p>
    <w:p w14:paraId="7D3E2463">
      <w:pPr>
        <w:spacing w:line="440" w:lineRule="atLeast"/>
        <w:ind w:firstLine="480" w:firstLineChars="200"/>
        <w:rPr>
          <w:bCs/>
          <w:sz w:val="24"/>
        </w:rPr>
      </w:pPr>
      <w:r>
        <w:rPr>
          <w:bCs/>
          <w:sz w:val="24"/>
        </w:rPr>
        <w:t>（10）基金管理人或基金托管人要求召开基金份额持有人大会；</w:t>
      </w:r>
    </w:p>
    <w:p w14:paraId="5406ECCA">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14:paraId="28B6E0EB">
      <w:pPr>
        <w:spacing w:line="440" w:lineRule="atLeast"/>
        <w:ind w:firstLine="480" w:firstLineChars="200"/>
        <w:rPr>
          <w:bCs/>
          <w:sz w:val="24"/>
        </w:rPr>
      </w:pPr>
      <w:r>
        <w:rPr>
          <w:bCs/>
          <w:sz w:val="24"/>
        </w:rPr>
        <w:t>（12）对基金当事人权利和义务产生重大影响的其他事项；</w:t>
      </w:r>
    </w:p>
    <w:p w14:paraId="0ADF618E">
      <w:pPr>
        <w:spacing w:line="440" w:lineRule="atLeast"/>
        <w:ind w:firstLine="480" w:firstLineChars="200"/>
        <w:rPr>
          <w:bCs/>
          <w:sz w:val="24"/>
        </w:rPr>
      </w:pPr>
      <w:r>
        <w:rPr>
          <w:bCs/>
          <w:sz w:val="24"/>
        </w:rPr>
        <w:t>（13）法律法规、《基金合同》或中国证监会规定的其他应当召开基金份额持有人大会的事项。</w:t>
      </w:r>
    </w:p>
    <w:p w14:paraId="36AE3152">
      <w:pPr>
        <w:spacing w:line="360" w:lineRule="auto"/>
        <w:ind w:firstLine="480" w:firstLineChars="200"/>
        <w:rPr>
          <w:bCs/>
          <w:sz w:val="24"/>
        </w:rPr>
      </w:pPr>
      <w:r>
        <w:rPr>
          <w:bCs/>
          <w:sz w:val="24"/>
        </w:rPr>
        <w:t>2、以下情况可由基金管理人和基金托管人协商后修改，不需召开基金份额持有人大会：</w:t>
      </w:r>
    </w:p>
    <w:p w14:paraId="53A6DB1F">
      <w:pPr>
        <w:spacing w:line="360" w:lineRule="auto"/>
        <w:ind w:firstLine="480" w:firstLineChars="200"/>
        <w:rPr>
          <w:bCs/>
          <w:sz w:val="24"/>
        </w:rPr>
      </w:pPr>
      <w:r>
        <w:rPr>
          <w:bCs/>
          <w:sz w:val="24"/>
        </w:rPr>
        <w:t>（1）调低基金管理费、基金托管费</w:t>
      </w:r>
      <w:r>
        <w:rPr>
          <w:rFonts w:hint="eastAsia"/>
          <w:bCs/>
          <w:sz w:val="24"/>
        </w:rPr>
        <w:t>或其他应由基金承担的费用</w:t>
      </w:r>
      <w:r>
        <w:rPr>
          <w:bCs/>
          <w:sz w:val="24"/>
        </w:rPr>
        <w:t>；</w:t>
      </w:r>
    </w:p>
    <w:p w14:paraId="43312747">
      <w:pPr>
        <w:spacing w:line="360" w:lineRule="auto"/>
        <w:ind w:firstLine="480" w:firstLineChars="200"/>
        <w:rPr>
          <w:bCs/>
          <w:sz w:val="24"/>
        </w:rPr>
      </w:pPr>
      <w:r>
        <w:rPr>
          <w:bCs/>
          <w:sz w:val="24"/>
        </w:rPr>
        <w:t>（2）法律法规要求增加的基金费用的收取；</w:t>
      </w:r>
    </w:p>
    <w:p w14:paraId="4FBCA1AA">
      <w:pPr>
        <w:spacing w:line="360" w:lineRule="auto"/>
        <w:ind w:firstLine="480" w:firstLineChars="200"/>
        <w:rPr>
          <w:bCs/>
          <w:sz w:val="24"/>
        </w:rPr>
      </w:pPr>
      <w:r>
        <w:rPr>
          <w:bCs/>
          <w:sz w:val="24"/>
        </w:rPr>
        <w:t>（3）在法律法规和《基金合同》规定的范围内</w:t>
      </w:r>
      <w:r>
        <w:rPr>
          <w:rFonts w:hint="eastAsia"/>
          <w:bCs/>
          <w:sz w:val="24"/>
        </w:rPr>
        <w:t>，对基金份额持有人利益无实质性不利影响的前提下，</w:t>
      </w:r>
      <w:r>
        <w:rPr>
          <w:bCs/>
          <w:sz w:val="24"/>
        </w:rPr>
        <w:t>调整本基金的申购费率、赎回费率</w:t>
      </w:r>
      <w:r>
        <w:rPr>
          <w:rFonts w:hint="eastAsia"/>
          <w:bCs/>
          <w:sz w:val="24"/>
        </w:rPr>
        <w:t>，调低销售服务费率，调整收费方式、增加新的基金份额类别</w:t>
      </w:r>
      <w:r>
        <w:rPr>
          <w:bCs/>
          <w:sz w:val="24"/>
        </w:rPr>
        <w:t>；</w:t>
      </w:r>
    </w:p>
    <w:p w14:paraId="1292CC8E">
      <w:pPr>
        <w:spacing w:line="360" w:lineRule="auto"/>
        <w:ind w:firstLine="480" w:firstLineChars="200"/>
        <w:rPr>
          <w:bCs/>
          <w:sz w:val="24"/>
        </w:rPr>
      </w:pPr>
      <w:r>
        <w:rPr>
          <w:bCs/>
          <w:sz w:val="24"/>
        </w:rPr>
        <w:t>（4）因相应的法律法规发生变动而应当对《基金合同》进行修改；</w:t>
      </w:r>
    </w:p>
    <w:p w14:paraId="24BE163D">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14:paraId="2B67F3E9">
      <w:pPr>
        <w:spacing w:line="360" w:lineRule="auto"/>
        <w:ind w:firstLine="480" w:firstLineChars="200"/>
        <w:rPr>
          <w:bCs/>
          <w:sz w:val="24"/>
        </w:rPr>
      </w:pPr>
      <w:r>
        <w:rPr>
          <w:bCs/>
          <w:sz w:val="24"/>
        </w:rPr>
        <w:t>（6）</w:t>
      </w:r>
      <w:r>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14:paraId="4E04EBA3">
      <w:pPr>
        <w:spacing w:line="360" w:lineRule="auto"/>
        <w:ind w:firstLine="480" w:firstLineChars="200"/>
        <w:rPr>
          <w:bCs/>
          <w:sz w:val="24"/>
        </w:rPr>
      </w:pPr>
      <w:r>
        <w:rPr>
          <w:rFonts w:hint="eastAsia"/>
          <w:bCs/>
          <w:sz w:val="24"/>
        </w:rPr>
        <w:t>（7）在法律法规规定的范围内且在对基金份额持有人利益无实质性不利影响的前提下，基金推出新业务或服务；</w:t>
      </w:r>
    </w:p>
    <w:p w14:paraId="2DD0BCAF">
      <w:pPr>
        <w:spacing w:line="360" w:lineRule="auto"/>
        <w:ind w:firstLine="480" w:firstLineChars="200"/>
        <w:rPr>
          <w:bCs/>
          <w:sz w:val="24"/>
        </w:rPr>
      </w:pPr>
      <w:r>
        <w:rPr>
          <w:bCs/>
          <w:sz w:val="24"/>
        </w:rPr>
        <w:t>（</w:t>
      </w:r>
      <w:r>
        <w:rPr>
          <w:rFonts w:hint="eastAsia"/>
          <w:bCs/>
          <w:sz w:val="24"/>
        </w:rPr>
        <w:t>8</w:t>
      </w:r>
      <w:r>
        <w:rPr>
          <w:bCs/>
          <w:sz w:val="24"/>
        </w:rPr>
        <w:t>）按照法律法规和《基金合同》规定不需召开基金份额持有人大会的其他情形。</w:t>
      </w:r>
    </w:p>
    <w:p w14:paraId="3BE351B4">
      <w:pPr>
        <w:spacing w:line="360" w:lineRule="auto"/>
        <w:ind w:firstLine="480" w:firstLineChars="200"/>
        <w:rPr>
          <w:bCs/>
          <w:sz w:val="24"/>
        </w:rPr>
      </w:pPr>
      <w:bookmarkStart w:id="190" w:name="_Toc79392585"/>
      <w:bookmarkStart w:id="191" w:name="_Toc15641221"/>
      <w:bookmarkStart w:id="192" w:name="_Toc57530244"/>
      <w:r>
        <w:rPr>
          <w:bCs/>
          <w:sz w:val="24"/>
        </w:rPr>
        <w:t>二、会议召集人及召集方式</w:t>
      </w:r>
      <w:bookmarkEnd w:id="190"/>
      <w:bookmarkEnd w:id="191"/>
      <w:bookmarkEnd w:id="192"/>
    </w:p>
    <w:p w14:paraId="1AC22ED9">
      <w:pPr>
        <w:spacing w:line="360" w:lineRule="auto"/>
        <w:ind w:firstLine="480" w:firstLineChars="200"/>
        <w:rPr>
          <w:bCs/>
          <w:sz w:val="24"/>
        </w:rPr>
      </w:pPr>
      <w:bookmarkStart w:id="193" w:name="_Toc57530245"/>
      <w:bookmarkStart w:id="194" w:name="_Toc15641222"/>
      <w:r>
        <w:rPr>
          <w:bCs/>
          <w:sz w:val="24"/>
        </w:rPr>
        <w:t>1、</w:t>
      </w:r>
      <w:r>
        <w:rPr>
          <w:rFonts w:hint="eastAsia"/>
          <w:bCs/>
          <w:sz w:val="24"/>
        </w:rPr>
        <w:t>本基金基金份额持有人大会不设立日常机构。</w:t>
      </w:r>
    </w:p>
    <w:p w14:paraId="268C071C">
      <w:pPr>
        <w:spacing w:line="360" w:lineRule="auto"/>
        <w:ind w:firstLine="480" w:firstLineChars="200"/>
        <w:rPr>
          <w:bCs/>
          <w:sz w:val="24"/>
        </w:rPr>
      </w:pPr>
      <w:r>
        <w:rPr>
          <w:rFonts w:hint="eastAsia"/>
          <w:bCs/>
          <w:sz w:val="24"/>
        </w:rPr>
        <w:t>2、</w:t>
      </w:r>
      <w:r>
        <w:rPr>
          <w:bCs/>
          <w:sz w:val="24"/>
        </w:rPr>
        <w:t>除法律法规规定或《基金合同》另有约定外，基金份额持有人大会由基金管理人召集；</w:t>
      </w:r>
    </w:p>
    <w:p w14:paraId="64F99390">
      <w:pPr>
        <w:spacing w:line="360" w:lineRule="auto"/>
        <w:ind w:firstLine="480" w:firstLineChars="200"/>
        <w:rPr>
          <w:bCs/>
          <w:sz w:val="24"/>
        </w:rPr>
      </w:pPr>
      <w:r>
        <w:rPr>
          <w:rFonts w:hint="eastAsia"/>
          <w:bCs/>
          <w:sz w:val="24"/>
        </w:rPr>
        <w:t>3</w:t>
      </w:r>
      <w:r>
        <w:rPr>
          <w:bCs/>
          <w:sz w:val="24"/>
        </w:rPr>
        <w:t>、基金管理人未按规定召集或不能</w:t>
      </w:r>
      <w:r>
        <w:rPr>
          <w:rFonts w:hint="eastAsia"/>
          <w:bCs/>
          <w:sz w:val="24"/>
        </w:rPr>
        <w:t>召开</w:t>
      </w:r>
      <w:r>
        <w:rPr>
          <w:bCs/>
          <w:sz w:val="24"/>
        </w:rPr>
        <w:t>时，由基金托管人召集；</w:t>
      </w:r>
    </w:p>
    <w:p w14:paraId="559EE5B6">
      <w:pPr>
        <w:spacing w:line="360" w:lineRule="auto"/>
        <w:ind w:firstLine="480" w:firstLineChars="200"/>
        <w:rPr>
          <w:bCs/>
          <w:sz w:val="24"/>
        </w:rPr>
      </w:pPr>
      <w:r>
        <w:rPr>
          <w:rFonts w:hint="eastAsia"/>
          <w:bCs/>
          <w:sz w:val="24"/>
        </w:rPr>
        <w:t>4</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 xml:space="preserve">日内决定是否召集，并书面告知基金托管人。基金管理人决定召集的，应当自出具书面决定之日起       </w:t>
      </w:r>
    </w:p>
    <w:p w14:paraId="4BDF4E42">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r>
        <w:rPr>
          <w:bCs/>
          <w:sz w:val="24"/>
        </w:rPr>
        <w:t>。</w:t>
      </w:r>
    </w:p>
    <w:p w14:paraId="50CA1D55">
      <w:pPr>
        <w:spacing w:line="360" w:lineRule="auto"/>
        <w:ind w:firstLine="480" w:firstLineChars="20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74D41A2C">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r>
        <w:rPr>
          <w:bCs/>
          <w:sz w:val="24"/>
        </w:rPr>
        <w:t>。</w:t>
      </w:r>
    </w:p>
    <w:p w14:paraId="07FCF117">
      <w:pPr>
        <w:spacing w:line="360" w:lineRule="auto"/>
        <w:ind w:firstLine="480" w:firstLineChars="200"/>
        <w:rPr>
          <w:bCs/>
          <w:sz w:val="24"/>
        </w:rPr>
      </w:pPr>
      <w:r>
        <w:rPr>
          <w:rFonts w:hint="eastAsia"/>
          <w:bCs/>
          <w:sz w:val="24"/>
        </w:rPr>
        <w:t>6</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14:paraId="0DB9B070">
      <w:pPr>
        <w:spacing w:line="360" w:lineRule="auto"/>
        <w:ind w:firstLine="480" w:firstLineChars="200"/>
        <w:rPr>
          <w:bCs/>
          <w:sz w:val="24"/>
        </w:rPr>
      </w:pPr>
      <w:r>
        <w:rPr>
          <w:rFonts w:hint="eastAsia"/>
          <w:bCs/>
          <w:sz w:val="24"/>
        </w:rPr>
        <w:t>7</w:t>
      </w:r>
      <w:r>
        <w:rPr>
          <w:bCs/>
          <w:sz w:val="24"/>
        </w:rPr>
        <w:t>、基金份额持有人会议的召集人负责选择确定开会时间、地点、方式和权益登记日。</w:t>
      </w:r>
    </w:p>
    <w:p w14:paraId="27B26B31">
      <w:pPr>
        <w:spacing w:line="360" w:lineRule="auto"/>
        <w:ind w:firstLine="480" w:firstLineChars="200"/>
        <w:rPr>
          <w:bCs/>
          <w:sz w:val="24"/>
        </w:rPr>
      </w:pPr>
      <w:bookmarkStart w:id="195" w:name="_Toc79392586"/>
      <w:r>
        <w:rPr>
          <w:bCs/>
          <w:sz w:val="24"/>
        </w:rPr>
        <w:t>三、召开基金份额持有人大会的通知时间、通知内容、通知方式</w:t>
      </w:r>
      <w:bookmarkEnd w:id="193"/>
      <w:bookmarkEnd w:id="194"/>
      <w:bookmarkEnd w:id="195"/>
    </w:p>
    <w:p w14:paraId="02C6FA9D">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日，在指定媒介公告。基金份额持有人大会通知应至少载明以下内容：</w:t>
      </w:r>
    </w:p>
    <w:p w14:paraId="26891B46">
      <w:pPr>
        <w:spacing w:line="360" w:lineRule="auto"/>
        <w:ind w:firstLine="480" w:firstLineChars="200"/>
        <w:rPr>
          <w:bCs/>
          <w:sz w:val="24"/>
        </w:rPr>
      </w:pPr>
      <w:r>
        <w:rPr>
          <w:bCs/>
          <w:sz w:val="24"/>
        </w:rPr>
        <w:t>（1）会议召开的时间、地点和会议形式；</w:t>
      </w:r>
    </w:p>
    <w:p w14:paraId="74E815C9">
      <w:pPr>
        <w:spacing w:line="360" w:lineRule="auto"/>
        <w:ind w:firstLine="480" w:firstLineChars="200"/>
        <w:rPr>
          <w:bCs/>
          <w:sz w:val="24"/>
        </w:rPr>
      </w:pPr>
      <w:r>
        <w:rPr>
          <w:bCs/>
          <w:sz w:val="24"/>
        </w:rPr>
        <w:t>（2）会议拟审议的事项、议事程序和表决方式；</w:t>
      </w:r>
    </w:p>
    <w:p w14:paraId="0698AA32">
      <w:pPr>
        <w:spacing w:line="360" w:lineRule="auto"/>
        <w:ind w:firstLine="480" w:firstLineChars="200"/>
        <w:rPr>
          <w:bCs/>
          <w:sz w:val="24"/>
        </w:rPr>
      </w:pPr>
      <w:r>
        <w:rPr>
          <w:bCs/>
          <w:sz w:val="24"/>
        </w:rPr>
        <w:t>（3）有权出席基金份额持有人大会的基金份额持有人的权益登记日；</w:t>
      </w:r>
    </w:p>
    <w:p w14:paraId="29C6027A">
      <w:pPr>
        <w:spacing w:line="360" w:lineRule="auto"/>
        <w:ind w:firstLine="480" w:firstLineChars="200"/>
        <w:rPr>
          <w:bCs/>
          <w:sz w:val="24"/>
        </w:rPr>
      </w:pPr>
      <w:r>
        <w:rPr>
          <w:bCs/>
          <w:sz w:val="24"/>
        </w:rPr>
        <w:t>（4）授权委托证明的内容要求（包括但不限于代理人身份，代理权限和代理有效期限等）、送达时间和地点;</w:t>
      </w:r>
    </w:p>
    <w:p w14:paraId="2C59D2A5">
      <w:pPr>
        <w:spacing w:line="360" w:lineRule="auto"/>
        <w:ind w:firstLine="480" w:firstLineChars="200"/>
        <w:rPr>
          <w:bCs/>
          <w:sz w:val="24"/>
        </w:rPr>
      </w:pPr>
      <w:r>
        <w:rPr>
          <w:bCs/>
          <w:sz w:val="24"/>
        </w:rPr>
        <w:t>（5）会务常设联系人姓名及联系电话；</w:t>
      </w:r>
    </w:p>
    <w:p w14:paraId="0CF2D2FF">
      <w:pPr>
        <w:spacing w:line="360" w:lineRule="auto"/>
        <w:ind w:firstLine="480" w:firstLineChars="200"/>
        <w:rPr>
          <w:bCs/>
          <w:sz w:val="24"/>
        </w:rPr>
      </w:pPr>
      <w:r>
        <w:rPr>
          <w:bCs/>
          <w:sz w:val="24"/>
        </w:rPr>
        <w:t>（6）出席会议者必须准备的文件和必须履行的手续；</w:t>
      </w:r>
    </w:p>
    <w:p w14:paraId="5A9525F3">
      <w:pPr>
        <w:spacing w:line="360" w:lineRule="auto"/>
        <w:ind w:firstLine="480" w:firstLineChars="200"/>
        <w:rPr>
          <w:bCs/>
          <w:sz w:val="24"/>
        </w:rPr>
      </w:pPr>
      <w:r>
        <w:rPr>
          <w:bCs/>
          <w:sz w:val="24"/>
        </w:rPr>
        <w:t>（7）召集人需要通知的其他事项。</w:t>
      </w:r>
    </w:p>
    <w:p w14:paraId="26DDC6A7">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51AB34F">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C5DB1D9">
      <w:pPr>
        <w:spacing w:line="360" w:lineRule="auto"/>
        <w:ind w:firstLine="480" w:firstLineChars="200"/>
        <w:rPr>
          <w:bCs/>
          <w:sz w:val="24"/>
        </w:rPr>
      </w:pPr>
      <w:bookmarkStart w:id="196" w:name="_Toc15641223"/>
      <w:bookmarkStart w:id="197" w:name="_Toc79392587"/>
      <w:bookmarkStart w:id="198" w:name="_Toc57530246"/>
      <w:r>
        <w:rPr>
          <w:bCs/>
          <w:sz w:val="24"/>
        </w:rPr>
        <w:t>四、基金份额持有人出席会议的方式</w:t>
      </w:r>
      <w:bookmarkEnd w:id="196"/>
      <w:bookmarkEnd w:id="197"/>
      <w:bookmarkEnd w:id="198"/>
    </w:p>
    <w:p w14:paraId="017C84A3">
      <w:pPr>
        <w:spacing w:line="360" w:lineRule="auto"/>
        <w:ind w:firstLine="480" w:firstLineChars="200"/>
        <w:rPr>
          <w:bCs/>
          <w:sz w:val="24"/>
        </w:rPr>
      </w:pPr>
      <w:r>
        <w:rPr>
          <w:bCs/>
          <w:sz w:val="24"/>
        </w:rPr>
        <w:t>基金份额持有人大会可通过现场开会方式或通讯开会方式</w:t>
      </w:r>
      <w:r>
        <w:rPr>
          <w:rFonts w:hint="eastAsia"/>
          <w:bCs/>
          <w:sz w:val="24"/>
        </w:rPr>
        <w:t>及法律法规、中国证监会允许的其他方式</w:t>
      </w:r>
      <w:r>
        <w:rPr>
          <w:bCs/>
          <w:sz w:val="24"/>
        </w:rPr>
        <w:t>召开，会议的召开方式由会议召集人确定。</w:t>
      </w:r>
    </w:p>
    <w:p w14:paraId="20F91A8A">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F7BD1E4">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FC7D2">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70119705">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在表决截至日以前送达至召集人指定的地址。通讯开会应以书面方式</w:t>
      </w:r>
      <w:r>
        <w:rPr>
          <w:rFonts w:hint="eastAsia"/>
          <w:bCs/>
          <w:sz w:val="24"/>
        </w:rPr>
        <w:t>或大会公告载明的其他方式</w:t>
      </w:r>
      <w:r>
        <w:rPr>
          <w:bCs/>
          <w:sz w:val="24"/>
        </w:rPr>
        <w:t>进行表决。</w:t>
      </w:r>
    </w:p>
    <w:p w14:paraId="6DDB8733">
      <w:pPr>
        <w:spacing w:line="360" w:lineRule="auto"/>
        <w:ind w:firstLine="480" w:firstLineChars="200"/>
        <w:rPr>
          <w:bCs/>
          <w:sz w:val="24"/>
        </w:rPr>
      </w:pPr>
      <w:r>
        <w:rPr>
          <w:bCs/>
          <w:sz w:val="24"/>
        </w:rPr>
        <w:t>在同时符合以下条件时，通讯开会的方式视为有效：</w:t>
      </w:r>
    </w:p>
    <w:p w14:paraId="19DE92CF">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14:paraId="0AB2DC9B">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AC5CBC7">
      <w:pPr>
        <w:spacing w:line="360" w:lineRule="auto"/>
        <w:ind w:firstLine="540" w:firstLineChars="225"/>
        <w:rPr>
          <w:bCs/>
          <w:sz w:val="24"/>
        </w:rPr>
      </w:pPr>
      <w:r>
        <w:rPr>
          <w:bCs/>
          <w:sz w:val="24"/>
        </w:rPr>
        <w:t>（3）本人直接出具书面意见或授权他人代表出具书面意见的，基金份额持有人所持有的基金份额不小于在权益登记日基金总份额的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61273DE0">
      <w:pPr>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397D9723">
      <w:pPr>
        <w:spacing w:line="360" w:lineRule="auto"/>
        <w:ind w:firstLine="480" w:firstLineChars="200"/>
        <w:rPr>
          <w:bCs/>
          <w:sz w:val="24"/>
        </w:rPr>
      </w:pPr>
      <w:r>
        <w:rPr>
          <w:rFonts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221BEE9C">
      <w:pPr>
        <w:spacing w:line="360" w:lineRule="auto"/>
        <w:ind w:firstLine="480" w:firstLineChars="200"/>
        <w:rPr>
          <w:bCs/>
          <w:sz w:val="24"/>
        </w:rPr>
      </w:pPr>
      <w:r>
        <w:rPr>
          <w:rFonts w:hint="eastAsia"/>
          <w:bCs/>
          <w:sz w:val="24"/>
        </w:rPr>
        <w:t>4、基金份额持有人授权他人代为出席会议并表决的，授权方式可以采用书面、网络、电话、短信或其他方式，具体方式在会议通知中列明。</w:t>
      </w:r>
    </w:p>
    <w:p w14:paraId="249DA8CC">
      <w:pPr>
        <w:spacing w:line="360" w:lineRule="auto"/>
        <w:ind w:firstLine="480" w:firstLineChars="200"/>
        <w:rPr>
          <w:bCs/>
          <w:sz w:val="24"/>
        </w:rPr>
      </w:pPr>
      <w:r>
        <w:rPr>
          <w:rFonts w:hint="eastAsia"/>
          <w:bCs/>
          <w:sz w:val="24"/>
        </w:rPr>
        <w:t>5、重新召集基金份额持有人大会的条件</w:t>
      </w:r>
    </w:p>
    <w:p w14:paraId="4F615095">
      <w:pPr>
        <w:spacing w:line="360" w:lineRule="auto"/>
        <w:ind w:firstLine="480" w:firstLineChars="200"/>
        <w:rPr>
          <w:bCs/>
          <w:sz w:val="24"/>
        </w:rPr>
      </w:pPr>
      <w:r>
        <w:rPr>
          <w:rFonts w:hint="eastAsia"/>
          <w:bCs/>
          <w:sz w:val="24"/>
        </w:rPr>
        <w:t>参加基金份额持有人大会的基金份额持有人持有的有效基金份额低于第1条第（2）款、第2条第（3）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14:paraId="635D3FFD">
      <w:pPr>
        <w:spacing w:line="360" w:lineRule="auto"/>
        <w:ind w:firstLine="480" w:firstLineChars="200"/>
        <w:rPr>
          <w:bCs/>
          <w:sz w:val="24"/>
        </w:rPr>
      </w:pPr>
    </w:p>
    <w:p w14:paraId="0B6CC147">
      <w:pPr>
        <w:spacing w:line="360" w:lineRule="auto"/>
        <w:ind w:firstLine="480" w:firstLineChars="200"/>
        <w:rPr>
          <w:bCs/>
          <w:sz w:val="24"/>
        </w:rPr>
      </w:pPr>
      <w:bookmarkStart w:id="199" w:name="_Toc79392588"/>
      <w:bookmarkStart w:id="200" w:name="_Toc15641224"/>
      <w:bookmarkStart w:id="201" w:name="_Toc57530247"/>
      <w:r>
        <w:rPr>
          <w:bCs/>
          <w:sz w:val="24"/>
        </w:rPr>
        <w:t>五、议事内容与程序</w:t>
      </w:r>
      <w:bookmarkEnd w:id="199"/>
      <w:bookmarkEnd w:id="200"/>
      <w:bookmarkEnd w:id="201"/>
    </w:p>
    <w:p w14:paraId="663F77A3">
      <w:pPr>
        <w:spacing w:line="360" w:lineRule="auto"/>
        <w:ind w:firstLine="480" w:firstLineChars="200"/>
        <w:rPr>
          <w:bCs/>
          <w:sz w:val="24"/>
        </w:rPr>
      </w:pPr>
      <w:r>
        <w:rPr>
          <w:bCs/>
          <w:sz w:val="24"/>
        </w:rPr>
        <w:t>1、议事内容及提案权</w:t>
      </w:r>
    </w:p>
    <w:p w14:paraId="2BDDA6EC">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596520">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14:paraId="0D898213">
      <w:pPr>
        <w:spacing w:line="360" w:lineRule="auto"/>
        <w:ind w:firstLine="480" w:firstLineChars="200"/>
        <w:rPr>
          <w:bCs/>
          <w:sz w:val="24"/>
        </w:rPr>
      </w:pPr>
      <w:r>
        <w:rPr>
          <w:bCs/>
          <w:sz w:val="24"/>
        </w:rPr>
        <w:t>基金份额持有人大会不得对未事先公告的议事内容进行表决。</w:t>
      </w:r>
    </w:p>
    <w:p w14:paraId="6F4FD9B5">
      <w:pPr>
        <w:spacing w:line="360" w:lineRule="auto"/>
        <w:ind w:firstLine="480" w:firstLineChars="200"/>
        <w:rPr>
          <w:bCs/>
          <w:sz w:val="24"/>
        </w:rPr>
      </w:pPr>
      <w:r>
        <w:rPr>
          <w:bCs/>
          <w:sz w:val="24"/>
        </w:rPr>
        <w:t>2、议事程序</w:t>
      </w:r>
    </w:p>
    <w:p w14:paraId="655FE78B">
      <w:pPr>
        <w:spacing w:line="360" w:lineRule="auto"/>
        <w:ind w:firstLine="480" w:firstLineChars="200"/>
        <w:rPr>
          <w:bCs/>
          <w:sz w:val="24"/>
        </w:rPr>
      </w:pPr>
      <w:r>
        <w:rPr>
          <w:bCs/>
          <w:sz w:val="24"/>
        </w:rPr>
        <w:t>（1）现场开会</w:t>
      </w:r>
    </w:p>
    <w:p w14:paraId="2B42A3D4">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693B7CF">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BFF5817">
      <w:pPr>
        <w:spacing w:line="360" w:lineRule="auto"/>
        <w:ind w:firstLine="480" w:firstLineChars="200"/>
        <w:rPr>
          <w:bCs/>
          <w:sz w:val="24"/>
        </w:rPr>
      </w:pPr>
      <w:r>
        <w:rPr>
          <w:bCs/>
          <w:sz w:val="24"/>
        </w:rPr>
        <w:t>（2）通讯开会</w:t>
      </w:r>
    </w:p>
    <w:p w14:paraId="6DE346AA">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31ADF91">
      <w:pPr>
        <w:spacing w:line="360" w:lineRule="auto"/>
        <w:ind w:firstLine="480" w:firstLineChars="200"/>
        <w:rPr>
          <w:bCs/>
          <w:sz w:val="24"/>
        </w:rPr>
      </w:pPr>
      <w:bookmarkStart w:id="202" w:name="_Toc79392589"/>
      <w:bookmarkStart w:id="203" w:name="_Toc15641225"/>
      <w:bookmarkStart w:id="204" w:name="_Toc57530248"/>
      <w:r>
        <w:rPr>
          <w:bCs/>
          <w:sz w:val="24"/>
        </w:rPr>
        <w:t>六、表决</w:t>
      </w:r>
      <w:bookmarkEnd w:id="202"/>
      <w:bookmarkEnd w:id="203"/>
      <w:bookmarkEnd w:id="204"/>
    </w:p>
    <w:p w14:paraId="78FFA898">
      <w:pPr>
        <w:spacing w:line="360" w:lineRule="auto"/>
        <w:ind w:firstLine="480" w:firstLineChars="200"/>
        <w:rPr>
          <w:bCs/>
          <w:sz w:val="24"/>
        </w:rPr>
      </w:pPr>
      <w:r>
        <w:rPr>
          <w:bCs/>
          <w:sz w:val="24"/>
        </w:rPr>
        <w:t>基金份额持有人所持每份基金份额有一票表决权</w:t>
      </w:r>
      <w:r>
        <w:rPr>
          <w:rFonts w:hint="eastAsia"/>
          <w:bCs/>
          <w:sz w:val="24"/>
        </w:rPr>
        <w:t>，同一类别内每一基金份额享有同等表决权</w:t>
      </w:r>
      <w:r>
        <w:rPr>
          <w:bCs/>
          <w:sz w:val="24"/>
        </w:rPr>
        <w:t>。</w:t>
      </w:r>
    </w:p>
    <w:p w14:paraId="02F3D725">
      <w:pPr>
        <w:spacing w:line="360" w:lineRule="auto"/>
        <w:ind w:firstLine="480" w:firstLineChars="200"/>
        <w:rPr>
          <w:bCs/>
          <w:sz w:val="24"/>
        </w:rPr>
      </w:pPr>
      <w:r>
        <w:rPr>
          <w:bCs/>
          <w:sz w:val="24"/>
        </w:rPr>
        <w:t>基金份额持有人大会决议分为一般决议和特别决议：</w:t>
      </w:r>
    </w:p>
    <w:p w14:paraId="5F9146BC">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）通过方为有效；除下列第2项所规定的须以特别决议通过事项以外的其他事项均以一般决议的方式通过。</w:t>
      </w:r>
    </w:p>
    <w:p w14:paraId="63537F27">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）通过方可做出。转换基金运作方式、更换基金管理人或者基金托管人、终止《基金合同》、与其他基金合并</w:t>
      </w:r>
      <w:r>
        <w:rPr>
          <w:rFonts w:hint="eastAsia"/>
          <w:bCs/>
          <w:sz w:val="24"/>
        </w:rPr>
        <w:t>，</w:t>
      </w:r>
      <w:r>
        <w:rPr>
          <w:bCs/>
          <w:sz w:val="24"/>
        </w:rPr>
        <w:t>以特别决议通过方为有效。</w:t>
      </w:r>
    </w:p>
    <w:p w14:paraId="1541D862">
      <w:pPr>
        <w:spacing w:line="360" w:lineRule="auto"/>
        <w:ind w:firstLine="480" w:firstLineChars="200"/>
        <w:rPr>
          <w:bCs/>
          <w:sz w:val="24"/>
        </w:rPr>
      </w:pPr>
      <w:r>
        <w:rPr>
          <w:bCs/>
          <w:sz w:val="24"/>
        </w:rPr>
        <w:t>基金份额持有人大会采取记名方式进行投票表决。</w:t>
      </w:r>
    </w:p>
    <w:p w14:paraId="1A16D995">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9A5E285">
      <w:pPr>
        <w:spacing w:line="360" w:lineRule="auto"/>
        <w:ind w:firstLine="480" w:firstLineChars="200"/>
        <w:rPr>
          <w:bCs/>
          <w:sz w:val="24"/>
        </w:rPr>
      </w:pPr>
      <w:r>
        <w:rPr>
          <w:bCs/>
          <w:sz w:val="24"/>
        </w:rPr>
        <w:t>基金份额持有人大会的各项提案或同一项提案内并列的各项议题应当分开审议、逐项表决。</w:t>
      </w:r>
    </w:p>
    <w:p w14:paraId="6BF00DC3">
      <w:pPr>
        <w:spacing w:line="360" w:lineRule="auto"/>
        <w:ind w:firstLine="480" w:firstLineChars="200"/>
        <w:rPr>
          <w:bCs/>
          <w:sz w:val="24"/>
        </w:rPr>
      </w:pPr>
      <w:bookmarkStart w:id="205" w:name="_Toc79392590"/>
      <w:bookmarkStart w:id="206" w:name="_Toc57530249"/>
      <w:bookmarkStart w:id="207" w:name="_Toc15641226"/>
      <w:r>
        <w:rPr>
          <w:bCs/>
          <w:sz w:val="24"/>
        </w:rPr>
        <w:t>七、计票</w:t>
      </w:r>
      <w:bookmarkEnd w:id="205"/>
      <w:bookmarkEnd w:id="206"/>
      <w:bookmarkEnd w:id="207"/>
    </w:p>
    <w:p w14:paraId="734CDF02">
      <w:pPr>
        <w:spacing w:line="360" w:lineRule="auto"/>
        <w:ind w:firstLine="480" w:firstLineChars="200"/>
        <w:rPr>
          <w:bCs/>
          <w:sz w:val="24"/>
        </w:rPr>
      </w:pPr>
      <w:r>
        <w:rPr>
          <w:bCs/>
          <w:sz w:val="24"/>
        </w:rPr>
        <w:t>1、现场开会</w:t>
      </w:r>
    </w:p>
    <w:p w14:paraId="67144297">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4B863B">
      <w:pPr>
        <w:spacing w:line="360" w:lineRule="auto"/>
        <w:ind w:firstLine="480" w:firstLineChars="200"/>
        <w:rPr>
          <w:bCs/>
          <w:sz w:val="24"/>
        </w:rPr>
      </w:pPr>
      <w:r>
        <w:rPr>
          <w:bCs/>
          <w:sz w:val="24"/>
        </w:rPr>
        <w:t>（2）监票人应当在基金份额持有人表决后立即进行清点并由大会主持人当场公布计票结果。</w:t>
      </w:r>
    </w:p>
    <w:p w14:paraId="5F694412">
      <w:pPr>
        <w:spacing w:line="360" w:lineRule="auto"/>
        <w:ind w:firstLine="480" w:firstLineChars="200"/>
        <w:rPr>
          <w:bCs/>
          <w:sz w:val="24"/>
        </w:rPr>
      </w:pPr>
      <w:r>
        <w:rPr>
          <w:bCs/>
          <w:sz w:val="24"/>
        </w:rPr>
        <w:t>（3）如果会议主持人或基金份额持有人或代理人对于提交的表决结果有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6465610B">
      <w:pPr>
        <w:spacing w:line="360" w:lineRule="auto"/>
        <w:ind w:firstLine="480" w:firstLineChars="200"/>
        <w:rPr>
          <w:bCs/>
          <w:sz w:val="24"/>
        </w:rPr>
      </w:pPr>
      <w:r>
        <w:rPr>
          <w:bCs/>
          <w:sz w:val="24"/>
        </w:rPr>
        <w:t>（4）计票过程应由公证机关予以公证,基金管理人或基金托管人拒不出席大会的，不影响计票的效力。</w:t>
      </w:r>
    </w:p>
    <w:p w14:paraId="2048E287">
      <w:pPr>
        <w:spacing w:line="360" w:lineRule="auto"/>
        <w:ind w:firstLine="480" w:firstLineChars="200"/>
        <w:rPr>
          <w:bCs/>
          <w:sz w:val="24"/>
        </w:rPr>
      </w:pPr>
      <w:r>
        <w:rPr>
          <w:bCs/>
          <w:sz w:val="24"/>
        </w:rPr>
        <w:t>2、通讯开会</w:t>
      </w:r>
    </w:p>
    <w:p w14:paraId="27270E5D">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57530250"/>
      <w:bookmarkStart w:id="209" w:name="_Toc79392591"/>
      <w:bookmarkStart w:id="210" w:name="_Toc15641227"/>
      <w:r>
        <w:rPr>
          <w:bCs/>
          <w:sz w:val="24"/>
        </w:rPr>
        <w:t>。基金管理人或基金托管人拒派代表对书面表决意见的计票进行监督的，不影响计票和表决结果。</w:t>
      </w:r>
    </w:p>
    <w:p w14:paraId="205EDDE7">
      <w:pPr>
        <w:spacing w:line="360" w:lineRule="auto"/>
        <w:ind w:firstLine="480" w:firstLineChars="200"/>
        <w:rPr>
          <w:bCs/>
          <w:sz w:val="24"/>
        </w:rPr>
      </w:pPr>
      <w:r>
        <w:rPr>
          <w:bCs/>
          <w:sz w:val="24"/>
        </w:rPr>
        <w:t>八、生效与公告</w:t>
      </w:r>
      <w:bookmarkEnd w:id="208"/>
      <w:bookmarkEnd w:id="209"/>
      <w:bookmarkEnd w:id="210"/>
    </w:p>
    <w:p w14:paraId="7273B1C5">
      <w:pPr>
        <w:spacing w:line="360" w:lineRule="auto"/>
        <w:ind w:firstLine="480" w:firstLineChars="200"/>
        <w:rPr>
          <w:bCs/>
          <w:sz w:val="24"/>
          <w:shd w:val="pct10" w:color="auto" w:fill="FFFFFF"/>
        </w:rPr>
      </w:pPr>
      <w:r>
        <w:rPr>
          <w:bCs/>
          <w:sz w:val="24"/>
        </w:rPr>
        <w:t>基金份额持有人大会的决议，召集人应当自通过之日起</w:t>
      </w:r>
      <w:r>
        <w:rPr>
          <w:rFonts w:hint="eastAsia"/>
          <w:bCs/>
          <w:sz w:val="24"/>
        </w:rPr>
        <w:t>5</w:t>
      </w:r>
      <w:r>
        <w:rPr>
          <w:bCs/>
          <w:sz w:val="24"/>
        </w:rPr>
        <w:t>日内报中国证监会备案。</w:t>
      </w:r>
    </w:p>
    <w:p w14:paraId="5B77BE03">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14:paraId="1BC16537">
      <w:pPr>
        <w:spacing w:line="360" w:lineRule="auto"/>
        <w:ind w:firstLine="480" w:firstLineChars="200"/>
        <w:rPr>
          <w:bCs/>
          <w:sz w:val="24"/>
        </w:rPr>
      </w:pPr>
      <w:r>
        <w:rPr>
          <w:bCs/>
          <w:sz w:val="24"/>
        </w:rPr>
        <w:t>基金份额持有人大会决议自生效之日起</w:t>
      </w:r>
      <w:r>
        <w:rPr>
          <w:rFonts w:hint="eastAsia"/>
          <w:bCs/>
          <w:sz w:val="24"/>
        </w:rPr>
        <w:t>按规定</w:t>
      </w:r>
      <w:r>
        <w:rPr>
          <w:bCs/>
          <w:sz w:val="24"/>
        </w:rPr>
        <w:t>内在</w:t>
      </w:r>
      <w:r>
        <w:rPr>
          <w:rFonts w:hint="eastAsia"/>
          <w:bCs/>
          <w:sz w:val="24"/>
        </w:rPr>
        <w:t>指定媒介</w:t>
      </w:r>
      <w:r>
        <w:rPr>
          <w:bCs/>
          <w:sz w:val="24"/>
        </w:rPr>
        <w:t>上公告。</w:t>
      </w:r>
      <w:bookmarkStart w:id="211" w:name="_Hlt88820702"/>
      <w:bookmarkEnd w:id="211"/>
      <w:r>
        <w:rPr>
          <w:bCs/>
          <w:sz w:val="24"/>
        </w:rPr>
        <w:t>如果采用通讯方式进行表决，在公告基金份额持有人大会决议时，必须将公证书全文、公证机构、公证员姓名等一同公告。</w:t>
      </w:r>
    </w:p>
    <w:p w14:paraId="6554A693">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B874D0F">
      <w:pPr>
        <w:spacing w:line="360" w:lineRule="auto"/>
        <w:ind w:firstLine="480" w:firstLineChars="200"/>
        <w:rPr>
          <w:sz w:val="24"/>
          <w:szCs w:val="24"/>
        </w:rPr>
      </w:pPr>
      <w:r>
        <w:rPr>
          <w:rFonts w:hint="eastAsia"/>
          <w:bCs/>
          <w:sz w:val="24"/>
        </w:rPr>
        <w:t>九、</w:t>
      </w:r>
      <w:r>
        <w:rPr>
          <w:rFonts w:hint="eastAsia"/>
          <w:sz w:val="24"/>
          <w:szCs w:val="24"/>
        </w:rPr>
        <w:t>实施侧袋机制期间基金份额持有人大会的特殊约定</w:t>
      </w:r>
    </w:p>
    <w:p w14:paraId="10A43BBA">
      <w:pPr>
        <w:spacing w:line="360" w:lineRule="auto"/>
        <w:ind w:firstLine="480" w:firstLineChars="20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940B0B">
      <w:pPr>
        <w:spacing w:line="360" w:lineRule="auto"/>
        <w:ind w:firstLine="480" w:firstLineChars="200"/>
        <w:rPr>
          <w:sz w:val="24"/>
          <w:szCs w:val="24"/>
        </w:rPr>
      </w:pPr>
      <w:r>
        <w:rPr>
          <w:sz w:val="24"/>
          <w:szCs w:val="24"/>
        </w:rPr>
        <w:t>1</w:t>
      </w:r>
      <w:r>
        <w:rPr>
          <w:rFonts w:hint="eastAsia"/>
          <w:sz w:val="24"/>
          <w:szCs w:val="24"/>
        </w:rPr>
        <w:t>、基金份额持有人行使提议权、召集权、提名权所需单独或合计代表相关基金份额</w:t>
      </w:r>
      <w:r>
        <w:rPr>
          <w:sz w:val="24"/>
          <w:szCs w:val="24"/>
        </w:rPr>
        <w:t>10%</w:t>
      </w:r>
      <w:r>
        <w:rPr>
          <w:rFonts w:hint="eastAsia"/>
          <w:sz w:val="24"/>
          <w:szCs w:val="24"/>
        </w:rPr>
        <w:t>以上（含</w:t>
      </w:r>
      <w:r>
        <w:rPr>
          <w:sz w:val="24"/>
          <w:szCs w:val="24"/>
        </w:rPr>
        <w:t>10%</w:t>
      </w:r>
      <w:r>
        <w:rPr>
          <w:rFonts w:hint="eastAsia"/>
          <w:sz w:val="24"/>
          <w:szCs w:val="24"/>
        </w:rPr>
        <w:t>）；</w:t>
      </w:r>
    </w:p>
    <w:p w14:paraId="55784883">
      <w:pPr>
        <w:spacing w:line="360" w:lineRule="auto"/>
        <w:ind w:firstLine="480" w:firstLineChars="200"/>
        <w:rPr>
          <w:sz w:val="24"/>
          <w:szCs w:val="24"/>
        </w:rPr>
      </w:pPr>
      <w:r>
        <w:rPr>
          <w:sz w:val="24"/>
          <w:szCs w:val="24"/>
        </w:rPr>
        <w:t>2</w:t>
      </w:r>
      <w:r>
        <w:rPr>
          <w:rFonts w:hint="eastAsia"/>
          <w:sz w:val="24"/>
          <w:szCs w:val="24"/>
        </w:rPr>
        <w:t>、现场开会的到会者在权益登记日代表的基金份额不少于本基金在权益登记日相关基金份额的二分之一（含二分之一）；</w:t>
      </w:r>
    </w:p>
    <w:p w14:paraId="0282A72E">
      <w:pPr>
        <w:spacing w:line="360" w:lineRule="auto"/>
        <w:ind w:firstLine="480" w:firstLineChars="200"/>
        <w:rPr>
          <w:sz w:val="24"/>
          <w:szCs w:val="24"/>
        </w:rPr>
      </w:pPr>
      <w:r>
        <w:rPr>
          <w:sz w:val="24"/>
          <w:szCs w:val="24"/>
        </w:rPr>
        <w:t>3</w:t>
      </w:r>
      <w:r>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69543E2A">
      <w:pPr>
        <w:spacing w:line="360" w:lineRule="auto"/>
        <w:ind w:firstLine="480" w:firstLineChars="200"/>
        <w:rPr>
          <w:sz w:val="24"/>
          <w:szCs w:val="24"/>
        </w:rPr>
      </w:pPr>
      <w:r>
        <w:rPr>
          <w:sz w:val="24"/>
          <w:szCs w:val="24"/>
        </w:rPr>
        <w:t>4</w:t>
      </w:r>
      <w:r>
        <w:rPr>
          <w:rFonts w:hint="eastAsia"/>
          <w:sz w:val="24"/>
          <w:szCs w:val="24"/>
        </w:rPr>
        <w:t>、当参与基金份额持有人大会投票的基金份额持有人所持有的基金份额小于在权益登记日相关基金份额的二分之一，召集人在原公告的基金份额持有人大会召开时间的</w:t>
      </w:r>
      <w:r>
        <w:rPr>
          <w:sz w:val="24"/>
          <w:szCs w:val="24"/>
        </w:rPr>
        <w:t>3</w:t>
      </w:r>
      <w:r>
        <w:rPr>
          <w:rFonts w:hint="eastAsia"/>
          <w:sz w:val="24"/>
          <w:szCs w:val="24"/>
        </w:rPr>
        <w:t>个月以后、</w:t>
      </w:r>
      <w:r>
        <w:rPr>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5FE1C2C6">
      <w:pPr>
        <w:spacing w:line="360" w:lineRule="auto"/>
        <w:ind w:firstLine="480" w:firstLineChars="200"/>
        <w:rPr>
          <w:sz w:val="24"/>
          <w:szCs w:val="24"/>
        </w:rPr>
      </w:pPr>
      <w:r>
        <w:rPr>
          <w:sz w:val="24"/>
          <w:szCs w:val="24"/>
        </w:rPr>
        <w:t>5</w:t>
      </w:r>
      <w:r>
        <w:rPr>
          <w:rFonts w:hint="eastAsia"/>
          <w:sz w:val="24"/>
          <w:szCs w:val="24"/>
        </w:rPr>
        <w:t>、现场开会由出席大会的基金份额持有人和代理人所持表决权的</w:t>
      </w:r>
      <w:r>
        <w:rPr>
          <w:sz w:val="24"/>
          <w:szCs w:val="24"/>
        </w:rPr>
        <w:t>50%</w:t>
      </w:r>
      <w:r>
        <w:rPr>
          <w:rFonts w:hint="eastAsia"/>
          <w:sz w:val="24"/>
          <w:szCs w:val="24"/>
        </w:rPr>
        <w:t>以上（含</w:t>
      </w:r>
      <w:r>
        <w:rPr>
          <w:sz w:val="24"/>
          <w:szCs w:val="24"/>
        </w:rPr>
        <w:t>50%</w:t>
      </w:r>
      <w:r>
        <w:rPr>
          <w:rFonts w:hint="eastAsia"/>
          <w:sz w:val="24"/>
          <w:szCs w:val="24"/>
        </w:rPr>
        <w:t>）选举产生一名基金份额持有人作为该次基金份额持有人大会的主持人；</w:t>
      </w:r>
    </w:p>
    <w:p w14:paraId="72FA1DE3">
      <w:pPr>
        <w:spacing w:line="360" w:lineRule="auto"/>
        <w:ind w:firstLine="480" w:firstLineChars="200"/>
        <w:rPr>
          <w:sz w:val="24"/>
          <w:szCs w:val="24"/>
        </w:rPr>
      </w:pPr>
      <w:r>
        <w:rPr>
          <w:sz w:val="24"/>
          <w:szCs w:val="24"/>
        </w:rPr>
        <w:t>6</w:t>
      </w:r>
      <w:r>
        <w:rPr>
          <w:rFonts w:hint="eastAsia"/>
          <w:sz w:val="24"/>
          <w:szCs w:val="24"/>
        </w:rPr>
        <w:t>、一般决议须经参加大会的基金份额持有人或其代理人所持表决权的二分之一以上（含二分之一）通过；</w:t>
      </w:r>
    </w:p>
    <w:p w14:paraId="00598641">
      <w:pPr>
        <w:spacing w:line="360" w:lineRule="auto"/>
        <w:ind w:firstLine="480" w:firstLineChars="200"/>
        <w:rPr>
          <w:sz w:val="24"/>
          <w:szCs w:val="24"/>
        </w:rPr>
      </w:pPr>
      <w:r>
        <w:rPr>
          <w:sz w:val="24"/>
          <w:szCs w:val="24"/>
        </w:rPr>
        <w:t>7</w:t>
      </w:r>
      <w:r>
        <w:rPr>
          <w:rFonts w:hint="eastAsia"/>
          <w:sz w:val="24"/>
          <w:szCs w:val="24"/>
        </w:rPr>
        <w:t>、特别决议应当经参加大会的基金份额持有人或其代理人所持表决权的三分之二以上（含三分之二）通过。</w:t>
      </w:r>
    </w:p>
    <w:p w14:paraId="0580179A">
      <w:pPr>
        <w:spacing w:line="360" w:lineRule="auto"/>
        <w:ind w:firstLine="480" w:firstLineChars="200"/>
        <w:rPr>
          <w:sz w:val="24"/>
          <w:szCs w:val="24"/>
        </w:rPr>
      </w:pPr>
      <w:r>
        <w:rPr>
          <w:rFonts w:hint="eastAsia"/>
          <w:sz w:val="24"/>
          <w:szCs w:val="24"/>
        </w:rPr>
        <w:t>侧袋机制实施期间，基金份额持有人大会审议事项涉及主袋账户和侧袋账户的，应分别由主袋账户、侧袋账户的基金份额持有人进行表决，同一主侧袋账户内的</w:t>
      </w:r>
      <w:r>
        <w:rPr>
          <w:rFonts w:hint="eastAsia"/>
          <w:bCs/>
          <w:sz w:val="24"/>
        </w:rPr>
        <w:t>同一类别</w:t>
      </w:r>
      <w:r>
        <w:rPr>
          <w:rFonts w:hint="eastAsia"/>
          <w:sz w:val="24"/>
          <w:szCs w:val="24"/>
        </w:rPr>
        <w:t>每份基金份额具有平等的表决权。表决事项未涉及侧袋账户的，侧袋账户份额无表决权。</w:t>
      </w:r>
    </w:p>
    <w:p w14:paraId="1E1613F7">
      <w:pPr>
        <w:spacing w:line="360" w:lineRule="auto"/>
        <w:ind w:firstLine="480" w:firstLineChars="200"/>
        <w:rPr>
          <w:sz w:val="24"/>
          <w:szCs w:val="24"/>
        </w:rPr>
      </w:pPr>
      <w:r>
        <w:rPr>
          <w:rFonts w:hint="eastAsia"/>
          <w:sz w:val="24"/>
          <w:szCs w:val="24"/>
        </w:rPr>
        <w:t>侧袋机制实施期间，关于基金份额持有人大会的相关规定以本节特殊约定内容为准，本节没有规定的适用上文相关约定。</w:t>
      </w:r>
    </w:p>
    <w:p w14:paraId="5008A23D">
      <w:pPr>
        <w:spacing w:line="360" w:lineRule="auto"/>
        <w:ind w:firstLine="480" w:firstLineChars="200"/>
        <w:rPr>
          <w:bCs/>
          <w:sz w:val="24"/>
        </w:rPr>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7644D7F5">
      <w:pPr>
        <w:spacing w:line="360" w:lineRule="auto"/>
        <w:ind w:firstLine="480" w:firstLineChars="200"/>
        <w:rPr>
          <w:bCs/>
          <w:sz w:val="24"/>
        </w:rPr>
      </w:pPr>
    </w:p>
    <w:p w14:paraId="4A1DD9C6">
      <w:pPr>
        <w:pStyle w:val="2"/>
        <w:ind w:firstLine="480" w:firstLineChars="200"/>
        <w:jc w:val="left"/>
        <w:rPr>
          <w:rFonts w:ascii="Times New Roman"/>
          <w:b w:val="0"/>
          <w:bCs/>
          <w:color w:val="auto"/>
        </w:rPr>
      </w:pPr>
      <w:bookmarkStart w:id="212" w:name="_Toc3963"/>
      <w:bookmarkStart w:id="213" w:name="_Toc1745"/>
      <w:bookmarkStart w:id="214" w:name="_Toc18769"/>
    </w:p>
    <w:p w14:paraId="76385FDC">
      <w:pPr>
        <w:pStyle w:val="2"/>
        <w:jc w:val="center"/>
        <w:rPr>
          <w:rFonts w:ascii="Times New Roman"/>
          <w:color w:val="auto"/>
        </w:rPr>
      </w:pPr>
      <w:r>
        <w:rPr>
          <w:rFonts w:ascii="Times New Roman"/>
          <w:b w:val="0"/>
          <w:bCs/>
          <w:color w:val="auto"/>
        </w:rPr>
        <w:br w:type="page"/>
      </w:r>
      <w:bookmarkStart w:id="215" w:name="_Toc98560355"/>
      <w:bookmarkStart w:id="216" w:name="_Toc139991739"/>
      <w:bookmarkStart w:id="217" w:name="_Toc141703889"/>
      <w:bookmarkStart w:id="218" w:name="_Toc31821"/>
      <w:bookmarkStart w:id="219" w:name="_Toc16164"/>
      <w:bookmarkStart w:id="220" w:name="_Toc123051455"/>
      <w:bookmarkStart w:id="221" w:name="_Toc21735"/>
      <w:bookmarkStart w:id="222" w:name="_Toc123112237"/>
      <w:bookmarkStart w:id="223" w:name="_Toc3080"/>
      <w:bookmarkStart w:id="224" w:name="_Toc725"/>
      <w:bookmarkStart w:id="225" w:name="_Toc10398"/>
      <w:bookmarkStart w:id="226" w:name="_Toc3572"/>
      <w:bookmarkStart w:id="227" w:name="_Toc18206"/>
      <w:bookmarkStart w:id="228" w:name="_Toc123102456"/>
      <w:r>
        <w:rPr>
          <w:rFonts w:ascii="Times New Roman"/>
          <w:color w:val="auto"/>
          <w:sz w:val="30"/>
        </w:rPr>
        <w:t>第九部分  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BC28071">
      <w:pPr>
        <w:autoSpaceDE w:val="0"/>
        <w:autoSpaceDN w:val="0"/>
        <w:spacing w:line="360" w:lineRule="auto"/>
        <w:textAlignment w:val="bottom"/>
        <w:rPr>
          <w:bCs/>
          <w:sz w:val="24"/>
        </w:rPr>
      </w:pPr>
      <w:bookmarkStart w:id="229" w:name="_Toc57530252"/>
      <w:bookmarkStart w:id="230" w:name="_Toc79392593"/>
      <w:bookmarkStart w:id="231" w:name="_Toc15118245"/>
    </w:p>
    <w:p w14:paraId="1FC66344">
      <w:pPr>
        <w:spacing w:line="360" w:lineRule="auto"/>
        <w:ind w:firstLine="480" w:firstLineChars="200"/>
        <w:rPr>
          <w:bCs/>
          <w:sz w:val="24"/>
        </w:rPr>
      </w:pPr>
      <w:r>
        <w:rPr>
          <w:bCs/>
          <w:sz w:val="24"/>
        </w:rPr>
        <w:t>一、基金管理人和基金托管人职责终止的情形</w:t>
      </w:r>
      <w:bookmarkEnd w:id="229"/>
      <w:bookmarkEnd w:id="230"/>
      <w:bookmarkEnd w:id="231"/>
    </w:p>
    <w:p w14:paraId="18DAF70E">
      <w:pPr>
        <w:spacing w:line="360" w:lineRule="auto"/>
        <w:ind w:firstLine="480" w:firstLineChars="200"/>
        <w:rPr>
          <w:bCs/>
          <w:sz w:val="24"/>
        </w:rPr>
      </w:pPr>
      <w:bookmarkStart w:id="232" w:name="_Toc22005971"/>
      <w:r>
        <w:rPr>
          <w:bCs/>
          <w:sz w:val="24"/>
        </w:rPr>
        <w:t>（一）</w:t>
      </w:r>
      <w:r>
        <w:rPr>
          <w:bCs/>
          <w:sz w:val="24"/>
        </w:rPr>
        <w:tab/>
      </w:r>
      <w:r>
        <w:rPr>
          <w:bCs/>
          <w:sz w:val="24"/>
        </w:rPr>
        <w:t>基金管理人职责终止的情形</w:t>
      </w:r>
      <w:bookmarkEnd w:id="232"/>
    </w:p>
    <w:p w14:paraId="23449547">
      <w:pPr>
        <w:spacing w:line="360" w:lineRule="auto"/>
        <w:ind w:firstLine="480" w:firstLineChars="200"/>
        <w:rPr>
          <w:bCs/>
          <w:sz w:val="24"/>
        </w:rPr>
      </w:pPr>
      <w:r>
        <w:rPr>
          <w:bCs/>
          <w:sz w:val="24"/>
        </w:rPr>
        <w:t>有下列情形之一的，基金管理人职责终止：</w:t>
      </w:r>
    </w:p>
    <w:p w14:paraId="191F7952">
      <w:pPr>
        <w:spacing w:line="360" w:lineRule="auto"/>
        <w:ind w:firstLine="480" w:firstLineChars="200"/>
        <w:rPr>
          <w:bCs/>
          <w:sz w:val="24"/>
        </w:rPr>
      </w:pPr>
      <w:r>
        <w:rPr>
          <w:bCs/>
          <w:sz w:val="24"/>
        </w:rPr>
        <w:t>1、被依法取消基金管理资格；</w:t>
      </w:r>
    </w:p>
    <w:p w14:paraId="677DFEED">
      <w:pPr>
        <w:spacing w:line="360" w:lineRule="auto"/>
        <w:ind w:firstLine="480" w:firstLineChars="200"/>
        <w:rPr>
          <w:bCs/>
          <w:sz w:val="24"/>
        </w:rPr>
      </w:pPr>
      <w:r>
        <w:rPr>
          <w:bCs/>
          <w:sz w:val="24"/>
        </w:rPr>
        <w:t>2、被基金份额持有人大会解任；</w:t>
      </w:r>
    </w:p>
    <w:p w14:paraId="67A9B684">
      <w:pPr>
        <w:spacing w:line="360" w:lineRule="auto"/>
        <w:ind w:firstLine="480" w:firstLineChars="200"/>
        <w:rPr>
          <w:bCs/>
          <w:sz w:val="24"/>
        </w:rPr>
      </w:pPr>
      <w:r>
        <w:rPr>
          <w:bCs/>
          <w:sz w:val="24"/>
        </w:rPr>
        <w:t>3、依法解散、被依法撤销或被依法宣告破产；</w:t>
      </w:r>
    </w:p>
    <w:p w14:paraId="74CBDFC9">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14:paraId="4C550932">
      <w:pPr>
        <w:spacing w:line="360" w:lineRule="auto"/>
        <w:ind w:firstLine="480" w:firstLineChars="200"/>
        <w:rPr>
          <w:bCs/>
          <w:sz w:val="24"/>
        </w:rPr>
      </w:pPr>
      <w:bookmarkStart w:id="233" w:name="_Toc22005972"/>
      <w:r>
        <w:rPr>
          <w:bCs/>
          <w:sz w:val="24"/>
        </w:rPr>
        <w:t>（二）</w:t>
      </w:r>
      <w:r>
        <w:rPr>
          <w:bCs/>
          <w:sz w:val="24"/>
        </w:rPr>
        <w:tab/>
      </w:r>
      <w:r>
        <w:rPr>
          <w:bCs/>
          <w:sz w:val="24"/>
        </w:rPr>
        <w:t>基金托管人职责终止的情形</w:t>
      </w:r>
      <w:bookmarkEnd w:id="233"/>
    </w:p>
    <w:p w14:paraId="754EA1A5">
      <w:pPr>
        <w:spacing w:line="360" w:lineRule="auto"/>
        <w:ind w:firstLine="480" w:firstLineChars="200"/>
        <w:rPr>
          <w:bCs/>
          <w:sz w:val="24"/>
        </w:rPr>
      </w:pPr>
      <w:r>
        <w:rPr>
          <w:bCs/>
          <w:sz w:val="24"/>
        </w:rPr>
        <w:t>有下列情形之一的，基金托管人职责终止：</w:t>
      </w:r>
    </w:p>
    <w:p w14:paraId="649C3904">
      <w:pPr>
        <w:spacing w:line="360" w:lineRule="auto"/>
        <w:ind w:firstLine="480" w:firstLineChars="200"/>
        <w:rPr>
          <w:bCs/>
          <w:sz w:val="24"/>
        </w:rPr>
      </w:pPr>
      <w:r>
        <w:rPr>
          <w:bCs/>
          <w:sz w:val="24"/>
        </w:rPr>
        <w:t>1、被依法取消基金托管资格；</w:t>
      </w:r>
    </w:p>
    <w:p w14:paraId="584434E1">
      <w:pPr>
        <w:spacing w:line="360" w:lineRule="auto"/>
        <w:ind w:firstLine="480" w:firstLineChars="200"/>
        <w:rPr>
          <w:bCs/>
          <w:sz w:val="24"/>
        </w:rPr>
      </w:pPr>
      <w:r>
        <w:rPr>
          <w:bCs/>
          <w:sz w:val="24"/>
        </w:rPr>
        <w:t>2、被基金份额持有人大会解任；</w:t>
      </w:r>
    </w:p>
    <w:p w14:paraId="4BAD8131">
      <w:pPr>
        <w:spacing w:line="360" w:lineRule="auto"/>
        <w:ind w:firstLine="480" w:firstLineChars="200"/>
        <w:rPr>
          <w:bCs/>
          <w:sz w:val="24"/>
        </w:rPr>
      </w:pPr>
      <w:r>
        <w:rPr>
          <w:bCs/>
          <w:sz w:val="24"/>
        </w:rPr>
        <w:t>3、依法解散、被依法撤销或被依法宣告破产；</w:t>
      </w:r>
    </w:p>
    <w:p w14:paraId="5A420C64">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14:paraId="32E23F22">
      <w:pPr>
        <w:spacing w:line="360" w:lineRule="auto"/>
        <w:ind w:firstLine="480" w:firstLineChars="200"/>
        <w:rPr>
          <w:bCs/>
          <w:sz w:val="24"/>
        </w:rPr>
      </w:pPr>
      <w:bookmarkStart w:id="234" w:name="_Toc57530253"/>
      <w:bookmarkStart w:id="235" w:name="_Toc15118246"/>
      <w:bookmarkStart w:id="236" w:name="_Toc79392594"/>
      <w:r>
        <w:rPr>
          <w:bCs/>
          <w:sz w:val="24"/>
        </w:rPr>
        <w:t>二、基金管理人和基金托管人的更换程序</w:t>
      </w:r>
      <w:bookmarkEnd w:id="234"/>
      <w:bookmarkEnd w:id="235"/>
      <w:bookmarkEnd w:id="236"/>
    </w:p>
    <w:p w14:paraId="2C9CB6EC">
      <w:pPr>
        <w:spacing w:line="360" w:lineRule="auto"/>
        <w:ind w:firstLine="480" w:firstLineChars="200"/>
        <w:rPr>
          <w:bCs/>
          <w:sz w:val="24"/>
        </w:rPr>
      </w:pPr>
      <w:bookmarkStart w:id="237" w:name="_Toc22005974"/>
      <w:r>
        <w:rPr>
          <w:bCs/>
          <w:sz w:val="24"/>
        </w:rPr>
        <w:t>（一）</w:t>
      </w:r>
      <w:r>
        <w:rPr>
          <w:bCs/>
          <w:sz w:val="24"/>
        </w:rPr>
        <w:tab/>
      </w:r>
      <w:r>
        <w:rPr>
          <w:bCs/>
          <w:sz w:val="24"/>
        </w:rPr>
        <w:t>基金管理人的更换程序</w:t>
      </w:r>
      <w:bookmarkEnd w:id="237"/>
    </w:p>
    <w:p w14:paraId="13223EB9">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23CD0185">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 xml:space="preserve"> 个月内对被提名的基金管理人形成决议，该决议需经参加大会的基金份额持有人所持表决权的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p>
    <w:p w14:paraId="0AC01BA5">
      <w:pPr>
        <w:spacing w:line="360" w:lineRule="auto"/>
        <w:ind w:firstLine="480" w:firstLineChars="200"/>
        <w:rPr>
          <w:bCs/>
          <w:sz w:val="24"/>
        </w:rPr>
      </w:pPr>
      <w:r>
        <w:rPr>
          <w:bCs/>
          <w:sz w:val="24"/>
        </w:rPr>
        <w:t>3、临时基金管理人：新任基金管理人产生之前，由中国证监会指定临时基金管理人；</w:t>
      </w:r>
    </w:p>
    <w:p w14:paraId="06F131A2">
      <w:pPr>
        <w:spacing w:line="360" w:lineRule="auto"/>
        <w:ind w:firstLine="480" w:firstLineChars="200"/>
        <w:rPr>
          <w:bCs/>
          <w:sz w:val="24"/>
        </w:rPr>
      </w:pPr>
      <w:r>
        <w:rPr>
          <w:bCs/>
          <w:sz w:val="24"/>
        </w:rPr>
        <w:t>4、</w:t>
      </w:r>
      <w:r>
        <w:rPr>
          <w:rFonts w:hint="eastAsia"/>
          <w:bCs/>
          <w:sz w:val="24"/>
        </w:rPr>
        <w:t>备案</w:t>
      </w:r>
      <w:r>
        <w:rPr>
          <w:bCs/>
          <w:sz w:val="24"/>
        </w:rPr>
        <w:t>：基金份额持有人大会选任基金管理人的决议</w:t>
      </w:r>
      <w:r>
        <w:rPr>
          <w:rFonts w:hint="eastAsia"/>
          <w:bCs/>
          <w:sz w:val="24"/>
        </w:rPr>
        <w:t>报</w:t>
      </w:r>
      <w:r>
        <w:rPr>
          <w:bCs/>
          <w:sz w:val="24"/>
        </w:rPr>
        <w:t>中国证监会</w:t>
      </w:r>
      <w:r>
        <w:rPr>
          <w:rFonts w:hint="eastAsia"/>
          <w:bCs/>
          <w:sz w:val="24"/>
        </w:rPr>
        <w:t>备案</w:t>
      </w:r>
      <w:r>
        <w:rPr>
          <w:bCs/>
          <w:sz w:val="24"/>
        </w:rPr>
        <w:t>；</w:t>
      </w:r>
    </w:p>
    <w:p w14:paraId="6E09B92A">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w:t>
      </w:r>
      <w:r>
        <w:rPr>
          <w:rFonts w:hint="eastAsia"/>
          <w:bCs/>
          <w:sz w:val="24"/>
        </w:rPr>
        <w:t>按规定</w:t>
      </w:r>
      <w:r>
        <w:rPr>
          <w:bCs/>
          <w:sz w:val="24"/>
        </w:rPr>
        <w:t>在</w:t>
      </w:r>
      <w:r>
        <w:rPr>
          <w:rFonts w:hint="eastAsia"/>
          <w:bCs/>
          <w:sz w:val="24"/>
        </w:rPr>
        <w:t>指定媒介</w:t>
      </w:r>
      <w:r>
        <w:rPr>
          <w:bCs/>
          <w:sz w:val="24"/>
        </w:rPr>
        <w:t>公告。</w:t>
      </w:r>
    </w:p>
    <w:p w14:paraId="06116BA2">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655AE491">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6AFF69C9">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14:paraId="638A3F6D">
      <w:pPr>
        <w:spacing w:line="360" w:lineRule="auto"/>
        <w:ind w:firstLine="480" w:firstLineChars="200"/>
        <w:rPr>
          <w:bCs/>
          <w:sz w:val="24"/>
        </w:rPr>
      </w:pPr>
      <w:bookmarkStart w:id="238" w:name="_Toc22005975"/>
      <w:r>
        <w:rPr>
          <w:bCs/>
          <w:sz w:val="24"/>
        </w:rPr>
        <w:t>（二）</w:t>
      </w:r>
      <w:r>
        <w:rPr>
          <w:bCs/>
          <w:sz w:val="24"/>
        </w:rPr>
        <w:tab/>
      </w:r>
      <w:r>
        <w:rPr>
          <w:bCs/>
          <w:sz w:val="24"/>
        </w:rPr>
        <w:t>基金托管人的更换程序</w:t>
      </w:r>
      <w:bookmarkEnd w:id="238"/>
    </w:p>
    <w:p w14:paraId="49B018BB">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03B19980">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p>
    <w:p w14:paraId="4F5A75A0">
      <w:pPr>
        <w:spacing w:line="360" w:lineRule="auto"/>
        <w:ind w:firstLine="480" w:firstLineChars="200"/>
        <w:rPr>
          <w:bCs/>
          <w:sz w:val="24"/>
        </w:rPr>
      </w:pPr>
      <w:r>
        <w:rPr>
          <w:bCs/>
          <w:sz w:val="24"/>
        </w:rPr>
        <w:t>3、临时基金托管人：新任基金托管人产生之前，由中国证监会指定临时基金托管人；</w:t>
      </w:r>
    </w:p>
    <w:p w14:paraId="5C5F68D2">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w:t>
      </w:r>
      <w:r>
        <w:rPr>
          <w:rFonts w:hint="eastAsia"/>
          <w:bCs/>
          <w:sz w:val="24"/>
        </w:rPr>
        <w:t>报</w:t>
      </w:r>
      <w:r>
        <w:rPr>
          <w:bCs/>
          <w:sz w:val="24"/>
        </w:rPr>
        <w:t>中国证监会</w:t>
      </w:r>
      <w:r>
        <w:rPr>
          <w:rFonts w:hint="eastAsia"/>
          <w:bCs/>
          <w:sz w:val="24"/>
        </w:rPr>
        <w:t>备案</w:t>
      </w:r>
      <w:r>
        <w:rPr>
          <w:bCs/>
          <w:sz w:val="24"/>
        </w:rPr>
        <w:t>；</w:t>
      </w:r>
    </w:p>
    <w:p w14:paraId="53451721">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按规定</w:t>
      </w:r>
      <w:r>
        <w:rPr>
          <w:bCs/>
          <w:sz w:val="24"/>
        </w:rPr>
        <w:t>在</w:t>
      </w:r>
      <w:r>
        <w:rPr>
          <w:rFonts w:hint="eastAsia"/>
          <w:bCs/>
          <w:sz w:val="24"/>
        </w:rPr>
        <w:t>指定媒介</w:t>
      </w:r>
      <w:r>
        <w:rPr>
          <w:bCs/>
          <w:sz w:val="24"/>
        </w:rPr>
        <w:t>公告。</w:t>
      </w:r>
    </w:p>
    <w:p w14:paraId="1C953AD6">
      <w:pPr>
        <w:spacing w:line="360" w:lineRule="auto"/>
        <w:ind w:firstLine="480" w:firstLineChars="200"/>
        <w:rPr>
          <w:bCs/>
          <w:sz w:val="24"/>
        </w:rPr>
      </w:pPr>
      <w:r>
        <w:rPr>
          <w:bCs/>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23FEE229">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0436FE23">
      <w:pPr>
        <w:spacing w:line="360" w:lineRule="auto"/>
        <w:ind w:firstLine="480" w:firstLineChars="200"/>
        <w:rPr>
          <w:bCs/>
          <w:sz w:val="24"/>
        </w:rPr>
      </w:pPr>
      <w:bookmarkStart w:id="239" w:name="_Toc1357"/>
      <w:r>
        <w:rPr>
          <w:bCs/>
          <w:sz w:val="24"/>
        </w:rPr>
        <w:t>（三）基金管理人与基金托管人同时更换的条件和程序。</w:t>
      </w:r>
      <w:bookmarkEnd w:id="239"/>
    </w:p>
    <w:p w14:paraId="4CC043E1">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6F8ED4D">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14:paraId="16B45F4B">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在指定媒介上联合公告。</w:t>
      </w:r>
    </w:p>
    <w:p w14:paraId="20B87C31">
      <w:pPr>
        <w:spacing w:line="360" w:lineRule="auto"/>
        <w:ind w:firstLine="480" w:firstLineChars="200"/>
        <w:rPr>
          <w:bCs/>
          <w:sz w:val="24"/>
        </w:rPr>
      </w:pPr>
      <w:r>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0812343">
      <w:pPr>
        <w:spacing w:line="360" w:lineRule="auto"/>
        <w:ind w:firstLine="480" w:firstLineChars="200"/>
        <w:rPr>
          <w:bCs/>
          <w:sz w:val="24"/>
        </w:rPr>
      </w:pPr>
    </w:p>
    <w:p w14:paraId="5532BBC6">
      <w:pPr>
        <w:pStyle w:val="2"/>
        <w:spacing w:before="0" w:after="0"/>
        <w:jc w:val="center"/>
        <w:rPr>
          <w:rFonts w:ascii="Times New Roman"/>
          <w:color w:val="auto"/>
          <w:sz w:val="30"/>
        </w:rPr>
      </w:pPr>
      <w:r>
        <w:rPr>
          <w:rFonts w:ascii="Times New Roman"/>
          <w:b w:val="0"/>
          <w:bCs/>
          <w:color w:val="auto"/>
          <w:kern w:val="2"/>
        </w:rPr>
        <w:br w:type="page"/>
      </w:r>
      <w:bookmarkStart w:id="240" w:name="_Toc8791"/>
      <w:bookmarkStart w:id="241" w:name="_Toc32584"/>
      <w:bookmarkStart w:id="242" w:name="_Toc739"/>
      <w:bookmarkStart w:id="243" w:name="_Toc139991740"/>
      <w:bookmarkStart w:id="244" w:name="_Toc141703890"/>
      <w:bookmarkStart w:id="245" w:name="_Toc32092"/>
      <w:bookmarkStart w:id="246" w:name="_Toc3329"/>
      <w:bookmarkStart w:id="247" w:name="_Toc79392622"/>
      <w:bookmarkStart w:id="248" w:name="_Toc20976"/>
      <w:bookmarkStart w:id="249" w:name="_Toc123102457"/>
      <w:bookmarkStart w:id="250" w:name="_Toc98560356"/>
      <w:bookmarkStart w:id="251" w:name="_Toc48649708"/>
      <w:bookmarkStart w:id="252" w:name="_Toc21237"/>
      <w:bookmarkStart w:id="253" w:name="_Toc17198"/>
      <w:bookmarkStart w:id="254" w:name="_Toc123112238"/>
      <w:bookmarkStart w:id="255" w:name="_Toc5170"/>
      <w:bookmarkStart w:id="256" w:name="_Toc29408"/>
      <w:bookmarkStart w:id="257" w:name="_Toc17920"/>
      <w:bookmarkStart w:id="258" w:name="_Toc123051456"/>
      <w:r>
        <w:rPr>
          <w:rFonts w:ascii="Times New Roman"/>
          <w:color w:val="auto"/>
          <w:sz w:val="30"/>
        </w:rPr>
        <w:t>第十部分  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65A6D21">
      <w:pPr>
        <w:autoSpaceDE w:val="0"/>
        <w:autoSpaceDN w:val="0"/>
        <w:spacing w:line="360" w:lineRule="auto"/>
        <w:textAlignment w:val="bottom"/>
        <w:rPr>
          <w:bCs/>
          <w:sz w:val="24"/>
        </w:rPr>
      </w:pPr>
    </w:p>
    <w:p w14:paraId="2619486E">
      <w:pPr>
        <w:spacing w:line="360" w:lineRule="auto"/>
        <w:ind w:firstLine="480" w:firstLineChars="200"/>
        <w:rPr>
          <w:bCs/>
          <w:sz w:val="24"/>
        </w:rPr>
      </w:pPr>
      <w:r>
        <w:rPr>
          <w:bCs/>
          <w:sz w:val="24"/>
        </w:rPr>
        <w:t>基金托管人和基金管理人按照《基金法》、《基金合同》及其他有关规定订立托管协议。</w:t>
      </w:r>
    </w:p>
    <w:p w14:paraId="32FC7BB4">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B2276C5">
      <w:pPr>
        <w:pStyle w:val="2"/>
        <w:spacing w:before="0" w:after="0"/>
        <w:jc w:val="center"/>
        <w:rPr>
          <w:rFonts w:ascii="Times New Roman"/>
          <w:color w:val="auto"/>
          <w:sz w:val="30"/>
        </w:rPr>
      </w:pPr>
      <w:r>
        <w:rPr>
          <w:rFonts w:ascii="Times New Roman"/>
          <w:b w:val="0"/>
          <w:bCs/>
          <w:color w:val="auto"/>
        </w:rPr>
        <w:br w:type="page"/>
      </w:r>
      <w:bookmarkStart w:id="259" w:name="_Toc26152"/>
      <w:bookmarkStart w:id="260" w:name="_Toc3244"/>
      <w:bookmarkStart w:id="261" w:name="_Toc98560357"/>
      <w:bookmarkStart w:id="262" w:name="_Toc22674"/>
      <w:bookmarkStart w:id="263" w:name="_Toc141703891"/>
      <w:bookmarkStart w:id="264" w:name="_Toc123051457"/>
      <w:bookmarkStart w:id="265" w:name="_Toc26084"/>
      <w:bookmarkStart w:id="266" w:name="_Toc31469"/>
      <w:bookmarkStart w:id="267" w:name="_Toc19520"/>
      <w:bookmarkStart w:id="268" w:name="_Toc48649710"/>
      <w:bookmarkStart w:id="269" w:name="_Toc123102458"/>
      <w:bookmarkStart w:id="270" w:name="_Toc123112239"/>
      <w:bookmarkStart w:id="271" w:name="_Toc79392624"/>
      <w:bookmarkStart w:id="272" w:name="_Toc139991741"/>
      <w:bookmarkStart w:id="273" w:name="_Toc14725"/>
      <w:bookmarkStart w:id="274" w:name="_Toc26383"/>
      <w:bookmarkStart w:id="275" w:name="_Toc21886"/>
      <w:bookmarkStart w:id="276" w:name="_Toc16789"/>
      <w:bookmarkStart w:id="277" w:name="_Toc2255"/>
      <w:r>
        <w:rPr>
          <w:rFonts w:ascii="Times New Roman"/>
          <w:color w:val="auto"/>
          <w:sz w:val="30"/>
        </w:rPr>
        <w:t>第十一部分  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43316E5">
      <w:pPr>
        <w:autoSpaceDE w:val="0"/>
        <w:autoSpaceDN w:val="0"/>
        <w:spacing w:line="360" w:lineRule="auto"/>
        <w:textAlignment w:val="bottom"/>
        <w:rPr>
          <w:bCs/>
          <w:sz w:val="24"/>
        </w:rPr>
      </w:pPr>
    </w:p>
    <w:p w14:paraId="070212EE">
      <w:pPr>
        <w:spacing w:line="360" w:lineRule="auto"/>
        <w:ind w:firstLine="480" w:firstLineChars="200"/>
        <w:rPr>
          <w:bCs/>
          <w:sz w:val="24"/>
        </w:rPr>
      </w:pPr>
      <w:r>
        <w:rPr>
          <w:bCs/>
          <w:sz w:val="24"/>
        </w:rPr>
        <w:t>一、基金的份额登记业务</w:t>
      </w:r>
    </w:p>
    <w:p w14:paraId="759CEFBA">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0A5A669">
      <w:pPr>
        <w:spacing w:line="360" w:lineRule="auto"/>
        <w:ind w:firstLine="480" w:firstLineChars="200"/>
        <w:rPr>
          <w:bCs/>
          <w:sz w:val="24"/>
        </w:rPr>
      </w:pPr>
      <w:r>
        <w:rPr>
          <w:bCs/>
          <w:sz w:val="24"/>
        </w:rPr>
        <w:t>二、基金登记业务办理机构</w:t>
      </w:r>
    </w:p>
    <w:p w14:paraId="0DEDDD18">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947981D">
      <w:pPr>
        <w:spacing w:line="360" w:lineRule="auto"/>
        <w:ind w:firstLine="480" w:firstLineChars="200"/>
        <w:rPr>
          <w:bCs/>
          <w:sz w:val="24"/>
        </w:rPr>
      </w:pPr>
      <w:r>
        <w:rPr>
          <w:bCs/>
          <w:sz w:val="24"/>
        </w:rPr>
        <w:t>三、基金登记机构的权利</w:t>
      </w:r>
      <w:bookmarkStart w:id="278" w:name="_Hlt88820748"/>
      <w:bookmarkEnd w:id="278"/>
    </w:p>
    <w:p w14:paraId="4AA38BCB">
      <w:pPr>
        <w:spacing w:line="360" w:lineRule="auto"/>
        <w:ind w:firstLine="480" w:firstLineChars="200"/>
        <w:rPr>
          <w:bCs/>
          <w:sz w:val="24"/>
        </w:rPr>
      </w:pPr>
      <w:r>
        <w:rPr>
          <w:bCs/>
          <w:sz w:val="24"/>
        </w:rPr>
        <w:t>基金登记机构享有以下权利：</w:t>
      </w:r>
    </w:p>
    <w:p w14:paraId="7F36BCF0">
      <w:pPr>
        <w:spacing w:line="360" w:lineRule="auto"/>
        <w:ind w:firstLine="480" w:firstLineChars="200"/>
        <w:rPr>
          <w:bCs/>
          <w:sz w:val="24"/>
        </w:rPr>
      </w:pPr>
      <w:r>
        <w:rPr>
          <w:bCs/>
          <w:sz w:val="24"/>
        </w:rPr>
        <w:t>1、取得登记费；</w:t>
      </w:r>
    </w:p>
    <w:p w14:paraId="71FB4D5A">
      <w:pPr>
        <w:spacing w:line="360" w:lineRule="auto"/>
        <w:ind w:firstLine="480" w:firstLineChars="200"/>
        <w:rPr>
          <w:bCs/>
          <w:sz w:val="24"/>
        </w:rPr>
      </w:pPr>
      <w:r>
        <w:rPr>
          <w:bCs/>
          <w:sz w:val="24"/>
        </w:rPr>
        <w:t>2、建立和管理投资者基金账户；</w:t>
      </w:r>
    </w:p>
    <w:p w14:paraId="50D373CD">
      <w:pPr>
        <w:spacing w:line="360" w:lineRule="auto"/>
        <w:ind w:firstLine="480" w:firstLineChars="200"/>
        <w:rPr>
          <w:bCs/>
          <w:sz w:val="24"/>
        </w:rPr>
      </w:pPr>
      <w:r>
        <w:rPr>
          <w:bCs/>
          <w:sz w:val="24"/>
        </w:rPr>
        <w:t>3、保</w:t>
      </w:r>
      <w:r>
        <w:rPr>
          <w:rFonts w:hint="eastAsia"/>
          <w:bCs/>
          <w:sz w:val="24"/>
        </w:rPr>
        <w:t>存</w:t>
      </w:r>
      <w:r>
        <w:rPr>
          <w:bCs/>
          <w:sz w:val="24"/>
        </w:rPr>
        <w:t>基金份额持有人开户资料、交易资料、基金份额持有人名册等；</w:t>
      </w:r>
    </w:p>
    <w:p w14:paraId="5B0E4DEC">
      <w:pPr>
        <w:spacing w:line="360" w:lineRule="auto"/>
        <w:ind w:firstLine="480" w:firstLineChars="200"/>
        <w:rPr>
          <w:bCs/>
          <w:sz w:val="24"/>
        </w:rPr>
      </w:pPr>
      <w:r>
        <w:rPr>
          <w:bCs/>
          <w:sz w:val="24"/>
        </w:rPr>
        <w:t>4、在法律法规允许的范围内，对登记业务的办理时间进行调整，并依照有关规定于开始实施前在指定媒介上公告；</w:t>
      </w:r>
    </w:p>
    <w:p w14:paraId="4ED03764">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14:paraId="24E9DD4F">
      <w:pPr>
        <w:spacing w:line="360" w:lineRule="auto"/>
        <w:ind w:firstLine="480" w:firstLineChars="200"/>
        <w:rPr>
          <w:bCs/>
          <w:sz w:val="24"/>
        </w:rPr>
      </w:pPr>
      <w:r>
        <w:rPr>
          <w:bCs/>
          <w:sz w:val="24"/>
        </w:rPr>
        <w:t>四、基金登记机构的义务</w:t>
      </w:r>
    </w:p>
    <w:p w14:paraId="3ADBDB58">
      <w:pPr>
        <w:spacing w:line="360" w:lineRule="auto"/>
        <w:ind w:firstLine="480" w:firstLineChars="200"/>
        <w:rPr>
          <w:bCs/>
          <w:sz w:val="24"/>
        </w:rPr>
      </w:pPr>
      <w:r>
        <w:rPr>
          <w:bCs/>
          <w:sz w:val="24"/>
        </w:rPr>
        <w:t>基金登记机构承担以下义务：</w:t>
      </w:r>
    </w:p>
    <w:p w14:paraId="1F7A88ED">
      <w:pPr>
        <w:spacing w:line="360" w:lineRule="auto"/>
        <w:ind w:firstLine="480" w:firstLineChars="200"/>
        <w:rPr>
          <w:bCs/>
          <w:sz w:val="24"/>
        </w:rPr>
      </w:pPr>
      <w:r>
        <w:rPr>
          <w:bCs/>
          <w:sz w:val="24"/>
        </w:rPr>
        <w:t>1、配备足够的专业人员办理本基金份额的登记业务；</w:t>
      </w:r>
    </w:p>
    <w:p w14:paraId="3AE3AA4A">
      <w:pPr>
        <w:spacing w:line="360" w:lineRule="auto"/>
        <w:ind w:firstLine="480" w:firstLineChars="200"/>
        <w:rPr>
          <w:bCs/>
          <w:sz w:val="24"/>
        </w:rPr>
      </w:pPr>
      <w:r>
        <w:rPr>
          <w:bCs/>
          <w:sz w:val="24"/>
        </w:rPr>
        <w:t>2、严格按照法律法规和《基金合同》规定的条件办理本基金份额的登记业务；</w:t>
      </w:r>
    </w:p>
    <w:p w14:paraId="4B08A995">
      <w:pPr>
        <w:spacing w:line="360" w:lineRule="auto"/>
        <w:ind w:firstLine="480" w:firstLineChars="200"/>
        <w:rPr>
          <w:bCs/>
          <w:sz w:val="24"/>
          <w:shd w:val="pct10" w:color="auto" w:fill="FFFFFF"/>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14:paraId="265E84A9">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313FE78">
      <w:pPr>
        <w:spacing w:line="360" w:lineRule="auto"/>
        <w:ind w:firstLine="480" w:firstLineChars="200"/>
        <w:rPr>
          <w:bCs/>
          <w:sz w:val="24"/>
        </w:rPr>
      </w:pPr>
      <w:r>
        <w:rPr>
          <w:bCs/>
          <w:sz w:val="24"/>
        </w:rPr>
        <w:t>5、按《基金合同》及招募说明书规定为投资者办理非交易过户业务、提供其他必要的服务；</w:t>
      </w:r>
    </w:p>
    <w:p w14:paraId="0116087B">
      <w:pPr>
        <w:spacing w:line="360" w:lineRule="auto"/>
        <w:ind w:firstLine="480" w:firstLineChars="200"/>
        <w:rPr>
          <w:bCs/>
          <w:sz w:val="24"/>
        </w:rPr>
      </w:pPr>
      <w:r>
        <w:rPr>
          <w:bCs/>
          <w:sz w:val="24"/>
        </w:rPr>
        <w:t>6、接受基金管理人的监督；</w:t>
      </w:r>
    </w:p>
    <w:p w14:paraId="455003B7">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14:paraId="29AB63B1">
      <w:pPr>
        <w:pStyle w:val="2"/>
        <w:spacing w:before="0" w:after="0"/>
        <w:jc w:val="center"/>
        <w:rPr>
          <w:rFonts w:ascii="Times New Roman"/>
          <w:color w:val="auto"/>
          <w:sz w:val="30"/>
        </w:rPr>
      </w:pPr>
      <w:r>
        <w:rPr>
          <w:rFonts w:ascii="Times New Roman"/>
          <w:b w:val="0"/>
          <w:bCs/>
          <w:color w:val="auto"/>
        </w:rPr>
        <w:br w:type="page"/>
      </w:r>
      <w:bookmarkStart w:id="279" w:name="_Toc5477"/>
      <w:bookmarkStart w:id="280" w:name="_Toc801"/>
      <w:bookmarkStart w:id="281" w:name="_Toc11395"/>
      <w:bookmarkStart w:id="282" w:name="_Toc578"/>
      <w:bookmarkStart w:id="283" w:name="_Toc16437"/>
      <w:bookmarkStart w:id="284" w:name="_Toc22538"/>
      <w:bookmarkStart w:id="285" w:name="_Toc2981"/>
      <w:bookmarkStart w:id="286" w:name="_Toc11351"/>
      <w:bookmarkStart w:id="287" w:name="_Toc3872"/>
      <w:bookmarkStart w:id="288" w:name="_Toc21917"/>
      <w:bookmarkStart w:id="289" w:name="_Toc13343"/>
      <w:r>
        <w:rPr>
          <w:rFonts w:ascii="Times New Roman"/>
          <w:color w:val="auto"/>
          <w:sz w:val="30"/>
        </w:rPr>
        <w:t>第十二部分  基金的投资</w:t>
      </w:r>
      <w:bookmarkEnd w:id="279"/>
      <w:bookmarkEnd w:id="280"/>
      <w:bookmarkEnd w:id="281"/>
      <w:bookmarkEnd w:id="282"/>
      <w:bookmarkEnd w:id="283"/>
      <w:bookmarkEnd w:id="284"/>
      <w:bookmarkEnd w:id="285"/>
      <w:bookmarkEnd w:id="286"/>
      <w:bookmarkEnd w:id="287"/>
      <w:bookmarkEnd w:id="288"/>
      <w:bookmarkEnd w:id="289"/>
    </w:p>
    <w:p w14:paraId="2F1C44EF">
      <w:pPr>
        <w:spacing w:line="360" w:lineRule="auto"/>
        <w:ind w:firstLine="480" w:firstLineChars="200"/>
        <w:rPr>
          <w:bCs/>
          <w:sz w:val="24"/>
        </w:rPr>
      </w:pPr>
    </w:p>
    <w:p w14:paraId="6A8D512D">
      <w:pPr>
        <w:spacing w:line="360" w:lineRule="auto"/>
        <w:ind w:firstLine="480" w:firstLineChars="200"/>
        <w:rPr>
          <w:bCs/>
          <w:sz w:val="24"/>
        </w:rPr>
      </w:pPr>
      <w:r>
        <w:rPr>
          <w:bCs/>
          <w:sz w:val="24"/>
        </w:rPr>
        <w:t>一、投资目标</w:t>
      </w:r>
    </w:p>
    <w:p w14:paraId="4A7008B5">
      <w:pPr>
        <w:spacing w:line="360" w:lineRule="auto"/>
        <w:rPr>
          <w:bCs/>
          <w:sz w:val="24"/>
        </w:rPr>
      </w:pPr>
      <w:r>
        <w:rPr>
          <w:bCs/>
          <w:sz w:val="24"/>
        </w:rPr>
        <w:t xml:space="preserve">    </w:t>
      </w:r>
      <w:r>
        <w:rPr>
          <w:rFonts w:hint="eastAsia"/>
          <w:bCs/>
          <w:sz w:val="24"/>
        </w:rPr>
        <w:t>本基金主要投资于固定收益类资产，在力争本金稳妥的基础上，适当参与股票投资，积极追求资产的长期稳定增值。</w:t>
      </w:r>
      <w:r>
        <w:rPr>
          <w:bCs/>
          <w:sz w:val="24"/>
        </w:rPr>
        <w:t xml:space="preserve">                      </w:t>
      </w:r>
    </w:p>
    <w:p w14:paraId="470AEE08">
      <w:pPr>
        <w:spacing w:line="360" w:lineRule="auto"/>
        <w:ind w:firstLine="480" w:firstLineChars="200"/>
        <w:rPr>
          <w:bCs/>
          <w:sz w:val="24"/>
        </w:rPr>
      </w:pPr>
      <w:r>
        <w:rPr>
          <w:bCs/>
          <w:sz w:val="24"/>
        </w:rPr>
        <w:t>二、投资范围</w:t>
      </w:r>
    </w:p>
    <w:p w14:paraId="095A806D">
      <w:pPr>
        <w:spacing w:line="360" w:lineRule="auto"/>
        <w:ind w:firstLine="480"/>
        <w:rPr>
          <w:bCs/>
          <w:sz w:val="24"/>
        </w:rPr>
      </w:pPr>
      <w:r>
        <w:rPr>
          <w:rFonts w:hint="eastAsia"/>
          <w:bCs/>
          <w:sz w:val="24"/>
        </w:rPr>
        <w:t>本基金投资于依法发行或上市的股票、债券等金融工具及法律法规或中国证监会允许基金投资的其他金融工具。具体包括：股票（包含中小板、创业板</w:t>
      </w:r>
      <w:r>
        <w:rPr>
          <w:rStyle w:val="47"/>
          <w:rFonts w:hint="default"/>
        </w:rPr>
        <w:t>、</w:t>
      </w:r>
      <w:r>
        <w:rPr>
          <w:rStyle w:val="47"/>
          <w:rFonts w:hint="default"/>
          <w:sz w:val="24"/>
          <w:szCs w:val="24"/>
        </w:rPr>
        <w:t>存托凭证</w:t>
      </w:r>
      <w:r>
        <w:rPr>
          <w:rFonts w:hint="eastAsia"/>
          <w:bCs/>
          <w:sz w:val="24"/>
        </w:rPr>
        <w:t>及其他依法发行、上市的股票），股指期货、权证，债券（国债、金融债、企业（公司）债、次级债、可转换债券（含分离交易可转债）、央行票据、短期融资券、超短期融资券、中期票据、中小企业私募债、可交换公司债券等）、资产支持证券、债券回购、银行存款等固定收益类资产以及现金，以及法律法规或中国证监会允许基金投资的其他金融工具（但须符合中国证监会的相关规定）。</w:t>
      </w:r>
    </w:p>
    <w:p w14:paraId="6FFD8F11">
      <w:pPr>
        <w:spacing w:line="360" w:lineRule="auto"/>
        <w:ind w:firstLine="480"/>
        <w:rPr>
          <w:bCs/>
        </w:rPr>
      </w:pPr>
      <w:r>
        <w:rPr>
          <w:bCs/>
          <w:sz w:val="24"/>
        </w:rPr>
        <w:t>如法律法规或监管机构以后允许基金投资其他品种，基金管理人在履行适当程序后，可以将其纳入投资范围。</w:t>
      </w:r>
    </w:p>
    <w:p w14:paraId="6D66653A">
      <w:pPr>
        <w:spacing w:line="360" w:lineRule="auto"/>
        <w:ind w:firstLine="480"/>
        <w:rPr>
          <w:bCs/>
          <w:sz w:val="24"/>
        </w:rPr>
      </w:pPr>
      <w:r>
        <w:rPr>
          <w:bCs/>
          <w:sz w:val="24"/>
        </w:rPr>
        <w:t>基金的投资组合比例为：</w:t>
      </w:r>
      <w:r>
        <w:rPr>
          <w:rFonts w:hint="eastAsia"/>
          <w:bCs/>
          <w:sz w:val="24"/>
        </w:rPr>
        <w:t>股票资产占基金资产的比例为0-40%；债券资产占基金资产的比例不低于60%；其中每个交易日日终在扣除股指期货合约需缴纳的交易保证金后，保持现金或者到期日在一年以内的政府债券的比例合计不低于基金资产净值的5%，其中现金不包括结算备付金、存出保证金、应收申购款等，权证、股指期货及其他金融工具的投资比例依照法律法规或监管机构的规定执行。</w:t>
      </w:r>
    </w:p>
    <w:p w14:paraId="0C464B33">
      <w:pPr>
        <w:spacing w:line="360" w:lineRule="auto"/>
        <w:ind w:firstLine="480" w:firstLineChars="200"/>
        <w:rPr>
          <w:bCs/>
          <w:sz w:val="24"/>
        </w:rPr>
      </w:pPr>
      <w:r>
        <w:rPr>
          <w:bCs/>
          <w:sz w:val="24"/>
        </w:rPr>
        <w:t>三、投资策略</w:t>
      </w:r>
    </w:p>
    <w:p w14:paraId="7FBF9101">
      <w:pPr>
        <w:spacing w:line="360" w:lineRule="auto"/>
        <w:ind w:firstLine="480" w:firstLineChars="200"/>
        <w:rPr>
          <w:bCs/>
          <w:sz w:val="24"/>
        </w:rPr>
      </w:pPr>
      <w:r>
        <w:rPr>
          <w:rFonts w:hint="eastAsia"/>
          <w:bCs/>
          <w:sz w:val="24"/>
        </w:rPr>
        <w:t>1、大类资产配置策略</w:t>
      </w:r>
    </w:p>
    <w:p w14:paraId="732ADD61">
      <w:pPr>
        <w:spacing w:line="360" w:lineRule="auto"/>
        <w:ind w:firstLine="480" w:firstLineChars="200"/>
        <w:rPr>
          <w:bCs/>
          <w:sz w:val="24"/>
        </w:rPr>
      </w:pPr>
      <w:r>
        <w:rPr>
          <w:rFonts w:hint="eastAsia"/>
          <w:bCs/>
          <w:sz w:val="24"/>
        </w:rPr>
        <w:t>本基金的大类资产配置主要通过对宏观经济运行状况、国家财政和货币政策、国家产业政策以及资本市场资金环境、证券市场走势的分析，预测宏观经济的发展趋势，并据此评价未来一段时间债券市场、股票市场的相对收益率，主动调整债券、股票类资产在给定区间内的动态配置，以使基金在保持总体风险水平相对稳定的基础上，优化投资组合。</w:t>
      </w:r>
    </w:p>
    <w:p w14:paraId="4E7BC28E">
      <w:pPr>
        <w:spacing w:line="360" w:lineRule="auto"/>
        <w:ind w:firstLine="480" w:firstLineChars="200"/>
        <w:rPr>
          <w:bCs/>
          <w:sz w:val="24"/>
        </w:rPr>
      </w:pPr>
      <w:r>
        <w:rPr>
          <w:rFonts w:hint="eastAsia"/>
          <w:bCs/>
          <w:sz w:val="24"/>
        </w:rPr>
        <w:t>2、债券投资策略</w:t>
      </w:r>
    </w:p>
    <w:p w14:paraId="7CE3A636">
      <w:pPr>
        <w:spacing w:line="360" w:lineRule="auto"/>
        <w:ind w:firstLine="480" w:firstLineChars="200"/>
        <w:rPr>
          <w:bCs/>
          <w:sz w:val="24"/>
        </w:rPr>
      </w:pPr>
      <w:r>
        <w:rPr>
          <w:rFonts w:hint="eastAsia"/>
          <w:bCs/>
          <w:sz w:val="24"/>
        </w:rPr>
        <w:t xml:space="preserve">在资本市场日益国际化的背景下，通过研判债券市场风险收益特征的国际化趋势和国内宏观经济景气周期引发的债券收益率的变化趋势，采取自上而下的策略构造组合。债券类品种的投资，追求在严格控制风险的基础上获取稳健回报的原则。 </w:t>
      </w:r>
    </w:p>
    <w:p w14:paraId="446C63A6">
      <w:pPr>
        <w:spacing w:line="360" w:lineRule="auto"/>
        <w:ind w:firstLine="480" w:firstLineChars="200"/>
        <w:rPr>
          <w:bCs/>
          <w:sz w:val="24"/>
        </w:rPr>
      </w:pPr>
      <w:r>
        <w:rPr>
          <w:rFonts w:hint="eastAsia"/>
          <w:bCs/>
          <w:sz w:val="24"/>
        </w:rPr>
        <w:t xml:space="preserve">（1）本基金采用目标久期管理法作为本基金债券类证券投资的核心策略。通过宏观经济分析平台把握市场利率水平的运行态势，作为组合久期选择的主要依据。 </w:t>
      </w:r>
    </w:p>
    <w:p w14:paraId="0D379EDD">
      <w:pPr>
        <w:spacing w:line="360" w:lineRule="auto"/>
        <w:ind w:firstLine="480" w:firstLineChars="200"/>
        <w:rPr>
          <w:bCs/>
          <w:sz w:val="24"/>
        </w:rPr>
      </w:pPr>
      <w:r>
        <w:rPr>
          <w:rFonts w:hint="eastAsia"/>
          <w:bCs/>
          <w:sz w:val="24"/>
        </w:rPr>
        <w:t>（2）结合收益率曲线变化的预测，采取期限结构配置策略，通过分析和情景测试，确定长、中、短期债券的投资比例。</w:t>
      </w:r>
    </w:p>
    <w:p w14:paraId="29D649AC">
      <w:pPr>
        <w:spacing w:line="360" w:lineRule="auto"/>
        <w:ind w:firstLine="480" w:firstLineChars="200"/>
        <w:rPr>
          <w:bCs/>
          <w:sz w:val="24"/>
        </w:rPr>
      </w:pPr>
      <w:r>
        <w:rPr>
          <w:rFonts w:hint="eastAsia"/>
          <w:bCs/>
          <w:sz w:val="24"/>
        </w:rPr>
        <w:t xml:space="preserve">（3）收益率利差策略是债券资产在类属间的主要配置策略。本基金在充分考虑不同类型债券流动性、税收以及信用风险等因素基础上，进行类属的配置，优化组合收益。 </w:t>
      </w:r>
    </w:p>
    <w:p w14:paraId="1CD5069B">
      <w:pPr>
        <w:spacing w:line="360" w:lineRule="auto"/>
        <w:ind w:firstLine="480" w:firstLineChars="200"/>
        <w:rPr>
          <w:bCs/>
          <w:sz w:val="24"/>
        </w:rPr>
      </w:pPr>
      <w:r>
        <w:rPr>
          <w:rFonts w:hint="eastAsia"/>
          <w:bCs/>
          <w:sz w:val="24"/>
        </w:rPr>
        <w:t xml:space="preserve">（4）在运用上述策略方法基础上，通过分析个券的剩余期限与收益率的配比状况、信用等级状况、流动性指标等因素，选择风险收益配比最合理的个券作为投资对象，并形成组合。本基金还将采取积极主动的策略，针对市场定价错误和回购套利机会等，在确定存在超额收益的情况下，积极把握市场机会。 </w:t>
      </w:r>
    </w:p>
    <w:p w14:paraId="336B27D9">
      <w:pPr>
        <w:spacing w:line="360" w:lineRule="auto"/>
        <w:ind w:firstLine="480" w:firstLineChars="200"/>
        <w:rPr>
          <w:bCs/>
          <w:sz w:val="24"/>
        </w:rPr>
      </w:pPr>
      <w:r>
        <w:rPr>
          <w:rFonts w:hint="eastAsia"/>
          <w:bCs/>
          <w:sz w:val="24"/>
        </w:rPr>
        <w:t>（5）根据基金申购、赎回等情况，对投资组合进行流动性管理，确保基金资产的变现能力。</w:t>
      </w:r>
    </w:p>
    <w:p w14:paraId="30E48ADF">
      <w:pPr>
        <w:spacing w:line="360" w:lineRule="auto"/>
        <w:ind w:firstLine="480" w:firstLineChars="200"/>
        <w:rPr>
          <w:bCs/>
          <w:sz w:val="24"/>
        </w:rPr>
      </w:pPr>
      <w:r>
        <w:rPr>
          <w:rFonts w:hint="eastAsia"/>
          <w:bCs/>
          <w:sz w:val="24"/>
        </w:rPr>
        <w:t>3、股票投资策略</w:t>
      </w:r>
    </w:p>
    <w:p w14:paraId="4AB05B16">
      <w:pPr>
        <w:spacing w:line="360" w:lineRule="auto"/>
        <w:ind w:firstLine="480" w:firstLineChars="200"/>
        <w:rPr>
          <w:bCs/>
          <w:sz w:val="24"/>
        </w:rPr>
      </w:pPr>
      <w:r>
        <w:rPr>
          <w:rFonts w:hint="eastAsia"/>
          <w:bCs/>
          <w:sz w:val="24"/>
        </w:rPr>
        <w:t>本基金的股票投资以自下而上的精选个股为主，采用定量和定性相结合的方式，投资以成长型股票为主。</w:t>
      </w:r>
    </w:p>
    <w:p w14:paraId="6AA33F2B">
      <w:pPr>
        <w:spacing w:line="360" w:lineRule="auto"/>
        <w:ind w:firstLine="480" w:firstLineChars="200"/>
        <w:rPr>
          <w:bCs/>
          <w:sz w:val="24"/>
        </w:rPr>
      </w:pPr>
      <w:r>
        <w:rPr>
          <w:rFonts w:hint="eastAsia"/>
          <w:bCs/>
          <w:sz w:val="24"/>
        </w:rPr>
        <w:t>（1）定量筛选：定量的方法主要通过对公司财务状况、盈利质量、成长能力、估值水平等方面的综合评估，选择财务健康、成长性好的公司。</w:t>
      </w:r>
    </w:p>
    <w:p w14:paraId="13BB4F35">
      <w:pPr>
        <w:spacing w:line="360" w:lineRule="auto"/>
        <w:ind w:firstLine="480" w:firstLineChars="200"/>
        <w:rPr>
          <w:bCs/>
          <w:sz w:val="24"/>
        </w:rPr>
      </w:pPr>
      <w:r>
        <w:rPr>
          <w:rFonts w:hint="eastAsia"/>
          <w:bCs/>
          <w:sz w:val="24"/>
        </w:rPr>
        <w:t>1）财务状况：评估公司在应对不同宏观经济周期和产业周期阶段的财务的能力，主要考察指标为资产负债率、资产周转率、流动比率等；</w:t>
      </w:r>
    </w:p>
    <w:p w14:paraId="13DA5E07">
      <w:pPr>
        <w:spacing w:line="360" w:lineRule="auto"/>
        <w:ind w:firstLine="480" w:firstLineChars="200"/>
        <w:rPr>
          <w:bCs/>
          <w:sz w:val="24"/>
        </w:rPr>
      </w:pPr>
      <w:r>
        <w:rPr>
          <w:rFonts w:hint="eastAsia"/>
          <w:bCs/>
          <w:sz w:val="24"/>
        </w:rPr>
        <w:t>2）盈利质量：评估公司持续发展能力，主要考察近两年平均净资产收益率(ROE)、平均投资资本回报率(ROIC)等；</w:t>
      </w:r>
    </w:p>
    <w:p w14:paraId="3B55E7BE">
      <w:pPr>
        <w:spacing w:line="360" w:lineRule="auto"/>
        <w:ind w:firstLine="480" w:firstLineChars="200"/>
        <w:rPr>
          <w:bCs/>
          <w:sz w:val="24"/>
        </w:rPr>
      </w:pPr>
      <w:r>
        <w:rPr>
          <w:rFonts w:hint="eastAsia"/>
          <w:bCs/>
          <w:sz w:val="24"/>
        </w:rPr>
        <w:t>3）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每股收益增长率等；</w:t>
      </w:r>
    </w:p>
    <w:p w14:paraId="69A83C83">
      <w:pPr>
        <w:spacing w:line="360" w:lineRule="auto"/>
        <w:ind w:firstLine="480" w:firstLineChars="200"/>
        <w:rPr>
          <w:bCs/>
          <w:sz w:val="24"/>
        </w:rPr>
      </w:pPr>
      <w:r>
        <w:rPr>
          <w:rFonts w:hint="eastAsia"/>
          <w:bCs/>
          <w:sz w:val="24"/>
        </w:rPr>
        <w:t>4）估值分析：评估公司相对市场和行业的相对投资价值，选择价格低于价值的上市公司，或是比较企业动态市盈率等指标，选择目前估值水平明显较低或估值合理的以及未来预期估值较低的上市公司，主要考察指标为市盈率(P/E)、市净率(P/B)、PEG、EV/EBITDA等。</w:t>
      </w:r>
    </w:p>
    <w:p w14:paraId="76265B48">
      <w:pPr>
        <w:spacing w:line="360" w:lineRule="auto"/>
        <w:ind w:firstLine="480" w:firstLineChars="200"/>
        <w:rPr>
          <w:bCs/>
          <w:sz w:val="24"/>
        </w:rPr>
      </w:pPr>
      <w:r>
        <w:rPr>
          <w:rFonts w:hint="eastAsia"/>
          <w:bCs/>
          <w:sz w:val="24"/>
        </w:rPr>
        <w:t>（2）定性筛选：作为定量筛选的重要补充，本基金还将通过基金经理和研究员定性研究分析，选择具备投资潜力的个股，进一步补充和完善备选股票库。</w:t>
      </w:r>
    </w:p>
    <w:p w14:paraId="3888D65D">
      <w:pPr>
        <w:spacing w:line="360" w:lineRule="auto"/>
        <w:ind w:firstLine="480" w:firstLineChars="200"/>
        <w:rPr>
          <w:bCs/>
          <w:sz w:val="24"/>
        </w:rPr>
      </w:pPr>
      <w:r>
        <w:rPr>
          <w:rFonts w:hint="eastAsia"/>
          <w:bCs/>
          <w:sz w:val="24"/>
        </w:rPr>
        <w:t>1）行业地位突出、有市场定价能力。属于行业龙头，具有较高的市场占有率，对产品定价具有较强的影响力。</w:t>
      </w:r>
    </w:p>
    <w:p w14:paraId="74947557">
      <w:pPr>
        <w:spacing w:line="360" w:lineRule="auto"/>
        <w:ind w:firstLine="480" w:firstLineChars="200"/>
        <w:rPr>
          <w:bCs/>
          <w:sz w:val="24"/>
        </w:rPr>
      </w:pPr>
      <w:r>
        <w:rPr>
          <w:rFonts w:hint="eastAsia"/>
          <w:bCs/>
          <w:sz w:val="24"/>
        </w:rPr>
        <w:t>2）具有核心竞争力。在管理、品牌、资源、技术、创新能力中的某一方面或多个方面具有竞争对手在短时间内难以模仿的显著优势，从而能够获得超越行业平均的盈利水平和增长速度。</w:t>
      </w:r>
    </w:p>
    <w:p w14:paraId="7E667659">
      <w:pPr>
        <w:spacing w:line="360" w:lineRule="auto"/>
        <w:ind w:firstLine="480" w:firstLineChars="200"/>
        <w:rPr>
          <w:bCs/>
          <w:sz w:val="24"/>
        </w:rPr>
      </w:pPr>
      <w:r>
        <w:rPr>
          <w:rFonts w:hint="eastAsia"/>
          <w:bCs/>
          <w:sz w:val="24"/>
        </w:rPr>
        <w:t>3）主营业务突出，具有良好的盈利能力。主营业务收入占比较高，盈利能力高于行业平均水平，未来盈利具有可持续性。</w:t>
      </w:r>
    </w:p>
    <w:p w14:paraId="3BD73C54">
      <w:pPr>
        <w:spacing w:line="360" w:lineRule="auto"/>
        <w:ind w:firstLine="480" w:firstLineChars="200"/>
        <w:rPr>
          <w:bCs/>
          <w:sz w:val="24"/>
        </w:rPr>
      </w:pPr>
      <w:r>
        <w:rPr>
          <w:rFonts w:hint="eastAsia"/>
          <w:bCs/>
          <w:sz w:val="24"/>
        </w:rPr>
        <w:t>4）公司治理结构规范，管理能力强。已建立合理的公司治理结构和市场化经营机制，管理层对企业未来发展有着明确的方向和清晰的思路。</w:t>
      </w:r>
    </w:p>
    <w:p w14:paraId="4B323011">
      <w:pPr>
        <w:spacing w:line="360" w:lineRule="auto"/>
        <w:ind w:firstLine="480" w:firstLineChars="200"/>
        <w:rPr>
          <w:sz w:val="24"/>
          <w:szCs w:val="21"/>
        </w:rPr>
      </w:pPr>
      <w:r>
        <w:rPr>
          <w:rFonts w:hint="eastAsia"/>
          <w:sz w:val="24"/>
          <w:szCs w:val="21"/>
        </w:rPr>
        <w:t>对于存托凭证投资，本基金将在深入研究的基础上，通过定性分析和定量分析相结合的方式，精选出具有比较优势的存托凭证。</w:t>
      </w:r>
    </w:p>
    <w:p w14:paraId="5F6AD5F0">
      <w:pPr>
        <w:spacing w:line="360" w:lineRule="auto"/>
        <w:ind w:firstLine="480" w:firstLineChars="200"/>
        <w:rPr>
          <w:bCs/>
          <w:sz w:val="24"/>
        </w:rPr>
      </w:pPr>
      <w:r>
        <w:rPr>
          <w:rFonts w:hint="eastAsia"/>
          <w:bCs/>
          <w:sz w:val="24"/>
        </w:rPr>
        <w:t>4、股指期货投资策略</w:t>
      </w:r>
    </w:p>
    <w:p w14:paraId="209E4942">
      <w:pPr>
        <w:spacing w:line="360" w:lineRule="auto"/>
        <w:ind w:firstLine="480" w:firstLineChars="200"/>
        <w:rPr>
          <w:bCs/>
          <w:sz w:val="24"/>
        </w:rPr>
      </w:pPr>
      <w:r>
        <w:rPr>
          <w:rFonts w:hint="eastAsia"/>
          <w:bCs/>
          <w:sz w:val="24"/>
        </w:rPr>
        <w:t>本基金在股指期货投资中将以控制风险为原则，以套期保值为目的，本着谨慎原则，参与股指期货的投资，并按照中国金融期货交易所套期保值管理的有关规定执行。</w:t>
      </w:r>
    </w:p>
    <w:p w14:paraId="736D201F">
      <w:pPr>
        <w:spacing w:line="360" w:lineRule="auto"/>
        <w:ind w:firstLine="480" w:firstLineChars="200"/>
        <w:rPr>
          <w:bCs/>
          <w:sz w:val="24"/>
        </w:rPr>
      </w:pPr>
      <w:r>
        <w:rPr>
          <w:rFonts w:hint="eastAsia"/>
          <w:bCs/>
          <w:sz w:val="24"/>
        </w:rPr>
        <w:t>在预判市场系统风险较大时，应用股指期货对冲策略，即在保有股票头寸不变的情况下或者逐步降低股票仓位后，在市场面临下跌时择机卖出期指合约进行套期保值，当股市好转之后再将期指合约空单平仓。</w:t>
      </w:r>
    </w:p>
    <w:p w14:paraId="3C76397A">
      <w:pPr>
        <w:spacing w:line="360" w:lineRule="auto"/>
        <w:ind w:firstLine="480" w:firstLineChars="200"/>
        <w:rPr>
          <w:bCs/>
          <w:sz w:val="24"/>
        </w:rPr>
      </w:pPr>
      <w:r>
        <w:rPr>
          <w:rFonts w:hint="eastAsia"/>
          <w:bCs/>
          <w:sz w:val="24"/>
        </w:rPr>
        <w:t xml:space="preserve"> 5、其他投资品种投资策略</w:t>
      </w:r>
    </w:p>
    <w:p w14:paraId="1E87CCAC">
      <w:pPr>
        <w:spacing w:line="360" w:lineRule="auto"/>
        <w:ind w:firstLine="480" w:firstLineChars="200"/>
        <w:rPr>
          <w:bCs/>
          <w:sz w:val="24"/>
        </w:rPr>
      </w:pPr>
      <w:r>
        <w:rPr>
          <w:rFonts w:hint="eastAsia"/>
          <w:bCs/>
          <w:sz w:val="24"/>
        </w:rPr>
        <w:t>权证投资策略：本基金将因为上市公司进行增发、配售以及投资分离交易的可转换公司债券等原因被动获得权证，或者在进行套利交易、避险交易以及权证价值严重低估等情形下将投资权证。本基金进行权证投资时，将在对权证标的证券进行基本面研究及估值的基础上，结合股价波动率等参数，运用数量化期权定价模型，确定其合理内在价值，从而构建套利交易、避险交易组合以及合同许可投资比例范围内的价值显著低估的权证品种。</w:t>
      </w:r>
    </w:p>
    <w:p w14:paraId="5AC3A3AC">
      <w:pPr>
        <w:spacing w:line="360" w:lineRule="auto"/>
        <w:ind w:firstLine="480" w:firstLineChars="200"/>
        <w:rPr>
          <w:bCs/>
          <w:sz w:val="24"/>
        </w:rPr>
      </w:pPr>
      <w:r>
        <w:rPr>
          <w:rFonts w:hint="eastAsia"/>
          <w:bCs/>
          <w:sz w:val="24"/>
        </w:rPr>
        <w:t>资产支持证券投资策略：在控制风险的前提下，本基金对资产支持证券从五个方面综合定价，选择低估的品种进行投资。五个方面包括信用因素、流动性因素、利率因素、税收因素和提前还款因素。</w:t>
      </w:r>
    </w:p>
    <w:p w14:paraId="1E6AD860">
      <w:pPr>
        <w:spacing w:line="360" w:lineRule="auto"/>
        <w:ind w:firstLine="480" w:firstLineChars="200"/>
        <w:rPr>
          <w:bCs/>
          <w:sz w:val="24"/>
        </w:rPr>
      </w:pPr>
      <w:r>
        <w:rPr>
          <w:rFonts w:hint="eastAsia"/>
          <w:bCs/>
          <w:sz w:val="24"/>
        </w:rPr>
        <w:t>中小企业私募债投资策略：中小企业私募债属于高收益债品种之一，其特点是信用风险高、收益率高、债券流动性较低。目前我国的中小企业私募债仍处于起步阶段，仅有小部分中小企业私募债有评级机构评级；与高信用风险相对应的是中小企业私募债较高的票面利率和到期收益率；由于中小企业私募债在我国目前市场规模较小，市场参与者较少，单只债券的规模也较小，且有持有人数上限限制，因此债券的流动性较差，随着我国信用债市场的发展，中小企业私募债的规模将会急剧的扩大，流动性也将得到改善，但从长期来看中小企业私募债的流动性仍将低于信用评级在投资级以上的品种，这是其品种本身固有的风险点之一。</w:t>
      </w:r>
    </w:p>
    <w:p w14:paraId="03FB9B05">
      <w:pPr>
        <w:spacing w:line="360" w:lineRule="auto"/>
        <w:ind w:firstLine="480" w:firstLineChars="200"/>
        <w:rPr>
          <w:bCs/>
        </w:rPr>
      </w:pPr>
      <w:r>
        <w:rPr>
          <w:rFonts w:hint="eastAsia"/>
          <w:bCs/>
          <w:sz w:val="24"/>
        </w:rPr>
        <w:t>本基金在对我国中小企业私募债市场发展动态紧密跟踪基础之上，依据独立的中小企业私募债风险评估体系，配备专业的研究力量，并执行相应的内控制度，更加审慎地分析单只中小企业私募债的信用风险及流动性风险，进行中小企业私募债投资。在中小企业私募债组合的管理上，将使用更加严格的风控标准，严格限制单只债券持有比例的上限，采用更分散化的投资组合，更短的组合到期期限来控制组合的信用风险和流动性风险。</w:t>
      </w:r>
    </w:p>
    <w:p w14:paraId="6676AE82">
      <w:pPr>
        <w:spacing w:line="360" w:lineRule="auto"/>
        <w:ind w:firstLine="480" w:firstLineChars="200"/>
        <w:rPr>
          <w:bCs/>
          <w:sz w:val="24"/>
        </w:rPr>
      </w:pPr>
      <w:r>
        <w:rPr>
          <w:bCs/>
          <w:sz w:val="24"/>
        </w:rPr>
        <w:t>四、投资限制</w:t>
      </w:r>
    </w:p>
    <w:p w14:paraId="7211AB0F">
      <w:pPr>
        <w:spacing w:line="360" w:lineRule="auto"/>
        <w:ind w:firstLine="480" w:firstLineChars="200"/>
        <w:rPr>
          <w:bCs/>
          <w:sz w:val="24"/>
        </w:rPr>
      </w:pPr>
      <w:r>
        <w:rPr>
          <w:bCs/>
          <w:sz w:val="24"/>
        </w:rPr>
        <w:t>1、组合限制</w:t>
      </w:r>
    </w:p>
    <w:p w14:paraId="2ADC45A1">
      <w:pPr>
        <w:spacing w:line="360" w:lineRule="auto"/>
        <w:ind w:firstLine="480" w:firstLineChars="200"/>
        <w:rPr>
          <w:bCs/>
          <w:sz w:val="24"/>
        </w:rPr>
      </w:pPr>
      <w:r>
        <w:rPr>
          <w:bCs/>
          <w:sz w:val="24"/>
        </w:rPr>
        <w:t>基金的投资组合应遵循以下限制：</w:t>
      </w:r>
    </w:p>
    <w:p w14:paraId="5F67E99C">
      <w:pPr>
        <w:spacing w:line="360" w:lineRule="auto"/>
        <w:ind w:firstLine="480" w:firstLineChars="200"/>
        <w:rPr>
          <w:bCs/>
          <w:sz w:val="24"/>
        </w:rPr>
      </w:pPr>
      <w:r>
        <w:rPr>
          <w:bCs/>
          <w:sz w:val="24"/>
        </w:rPr>
        <w:t>（1）</w:t>
      </w:r>
      <w:r>
        <w:rPr>
          <w:rFonts w:hint="eastAsia"/>
          <w:bCs/>
          <w:sz w:val="24"/>
        </w:rPr>
        <w:t>本基金的投资组合比例为：股票投资比例为基金资产的0—40%，债券资产占基金资产的比例不低于60%。</w:t>
      </w:r>
    </w:p>
    <w:p w14:paraId="3079E163">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保持不低于基金资产净值5％的现金或者到期日在一年以内的政府债券</w:t>
      </w:r>
      <w:r>
        <w:rPr>
          <w:rFonts w:hint="eastAsia"/>
          <w:bCs/>
          <w:sz w:val="24"/>
        </w:rPr>
        <w:t>，其中现金不包括结算备付金、存出保证金、应收申购款等</w:t>
      </w:r>
      <w:r>
        <w:rPr>
          <w:bCs/>
          <w:sz w:val="24"/>
        </w:rPr>
        <w:t>；</w:t>
      </w:r>
    </w:p>
    <w:p w14:paraId="4EC85307">
      <w:pPr>
        <w:spacing w:line="360" w:lineRule="auto"/>
        <w:ind w:firstLine="480" w:firstLineChars="200"/>
        <w:rPr>
          <w:bCs/>
          <w:sz w:val="24"/>
        </w:rPr>
      </w:pPr>
      <w:r>
        <w:rPr>
          <w:bCs/>
          <w:sz w:val="24"/>
        </w:rPr>
        <w:t>（</w:t>
      </w:r>
      <w:r>
        <w:rPr>
          <w:rFonts w:hint="eastAsia"/>
          <w:bCs/>
          <w:sz w:val="24"/>
        </w:rPr>
        <w:t>3</w:t>
      </w:r>
      <w:r>
        <w:rPr>
          <w:bCs/>
          <w:sz w:val="24"/>
        </w:rPr>
        <w:t>）本基金持有一家公司</w:t>
      </w:r>
      <w:r>
        <w:rPr>
          <w:rFonts w:hint="eastAsia"/>
          <w:bCs/>
          <w:sz w:val="24"/>
        </w:rPr>
        <w:t>发行的证券</w:t>
      </w:r>
      <w:r>
        <w:rPr>
          <w:bCs/>
          <w:sz w:val="24"/>
        </w:rPr>
        <w:t>，其市值不超过基金资产净值的10％；</w:t>
      </w:r>
    </w:p>
    <w:p w14:paraId="762618FE">
      <w:pPr>
        <w:spacing w:line="360" w:lineRule="auto"/>
        <w:ind w:firstLine="480" w:firstLineChars="200"/>
        <w:rPr>
          <w:bCs/>
          <w:sz w:val="24"/>
        </w:rPr>
      </w:pPr>
      <w:r>
        <w:rPr>
          <w:bCs/>
          <w:sz w:val="24"/>
        </w:rPr>
        <w:t>（</w:t>
      </w:r>
      <w:r>
        <w:rPr>
          <w:rFonts w:hint="eastAsia"/>
          <w:bCs/>
          <w:sz w:val="24"/>
        </w:rPr>
        <w:t>4</w:t>
      </w:r>
      <w:r>
        <w:rPr>
          <w:bCs/>
          <w:sz w:val="24"/>
        </w:rPr>
        <w:t>）本基金管理人管理的全部基金持有一家公司发行的证券，不超过该证券的10％；</w:t>
      </w:r>
    </w:p>
    <w:p w14:paraId="2E99C63B">
      <w:pPr>
        <w:spacing w:line="360" w:lineRule="auto"/>
        <w:ind w:firstLine="480" w:firstLineChars="200"/>
        <w:rPr>
          <w:bCs/>
          <w:sz w:val="24"/>
        </w:rPr>
      </w:pPr>
      <w:r>
        <w:rPr>
          <w:bCs/>
          <w:sz w:val="24"/>
        </w:rPr>
        <w:t>（</w:t>
      </w:r>
      <w:r>
        <w:rPr>
          <w:rFonts w:hint="eastAsia"/>
          <w:bCs/>
          <w:sz w:val="24"/>
        </w:rPr>
        <w:t>5</w:t>
      </w:r>
      <w:r>
        <w:rPr>
          <w:bCs/>
          <w:sz w:val="24"/>
        </w:rPr>
        <w:t>）本基金持有的全部权证，其市值不得超过基金资产净值的3％；</w:t>
      </w:r>
    </w:p>
    <w:p w14:paraId="5C5685F2">
      <w:pPr>
        <w:spacing w:line="360" w:lineRule="auto"/>
        <w:ind w:firstLine="480" w:firstLineChars="20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p>
    <w:p w14:paraId="7E5D7DCF">
      <w:pPr>
        <w:spacing w:line="360" w:lineRule="auto"/>
        <w:ind w:firstLine="480" w:firstLineChars="200"/>
        <w:rPr>
          <w:bCs/>
          <w:sz w:val="24"/>
        </w:rPr>
      </w:pPr>
      <w:r>
        <w:rPr>
          <w:bCs/>
          <w:sz w:val="24"/>
        </w:rPr>
        <w:t>（</w:t>
      </w:r>
      <w:r>
        <w:rPr>
          <w:rFonts w:hint="eastAsia"/>
          <w:bCs/>
          <w:sz w:val="24"/>
        </w:rPr>
        <w:t>7</w:t>
      </w:r>
      <w:r>
        <w:rPr>
          <w:bCs/>
          <w:sz w:val="24"/>
        </w:rPr>
        <w:t>）本基金在任何交易日买入权证的总金额，不得超过上一交易日基金资产净值的0.5％；</w:t>
      </w:r>
    </w:p>
    <w:p w14:paraId="63B079CA">
      <w:pPr>
        <w:spacing w:line="360" w:lineRule="auto"/>
        <w:ind w:firstLine="480" w:firstLineChars="200"/>
        <w:rPr>
          <w:bCs/>
          <w:sz w:val="24"/>
        </w:rPr>
      </w:pPr>
      <w:r>
        <w:rPr>
          <w:bCs/>
          <w:sz w:val="24"/>
        </w:rPr>
        <w:t>（</w:t>
      </w:r>
      <w:r>
        <w:rPr>
          <w:rFonts w:hint="eastAsia"/>
          <w:bCs/>
          <w:sz w:val="24"/>
        </w:rPr>
        <w:t>8</w:t>
      </w:r>
      <w:r>
        <w:rPr>
          <w:bCs/>
          <w:sz w:val="24"/>
        </w:rPr>
        <w:t>）本基金投资于同一原始权益人的各类资产支持证券的比例，不得超过基金资产净值的10％；</w:t>
      </w:r>
    </w:p>
    <w:p w14:paraId="043D2383">
      <w:pPr>
        <w:spacing w:line="360" w:lineRule="auto"/>
        <w:ind w:firstLine="480" w:firstLineChars="200"/>
        <w:rPr>
          <w:bCs/>
          <w:sz w:val="24"/>
        </w:rPr>
      </w:pPr>
      <w:r>
        <w:rPr>
          <w:bCs/>
          <w:sz w:val="24"/>
        </w:rPr>
        <w:t>（</w:t>
      </w:r>
      <w:r>
        <w:rPr>
          <w:rFonts w:hint="eastAsia"/>
          <w:bCs/>
          <w:sz w:val="24"/>
        </w:rPr>
        <w:t>9</w:t>
      </w:r>
      <w:r>
        <w:rPr>
          <w:bCs/>
          <w:sz w:val="24"/>
        </w:rPr>
        <w:t>）本基金持有的全部资产支持证券，其市值不得超过基金资产净值的20％；</w:t>
      </w:r>
    </w:p>
    <w:p w14:paraId="388805FF">
      <w:pPr>
        <w:spacing w:line="360" w:lineRule="auto"/>
        <w:ind w:firstLine="480" w:firstLineChars="200"/>
        <w:rPr>
          <w:bCs/>
          <w:sz w:val="24"/>
        </w:rPr>
      </w:pPr>
      <w:r>
        <w:rPr>
          <w:bCs/>
          <w:sz w:val="24"/>
        </w:rPr>
        <w:t>（1</w:t>
      </w:r>
      <w:r>
        <w:rPr>
          <w:rFonts w:hint="eastAsia"/>
          <w:bCs/>
          <w:sz w:val="24"/>
        </w:rPr>
        <w:t>0</w:t>
      </w:r>
      <w:r>
        <w:rPr>
          <w:bCs/>
          <w:sz w:val="24"/>
        </w:rPr>
        <w:t>）本基金持有的同一(指同一信用级别)资产支持证券的比例，不得超过该资产支持证券规模的10％；</w:t>
      </w:r>
    </w:p>
    <w:p w14:paraId="555AE452">
      <w:pPr>
        <w:spacing w:line="360" w:lineRule="auto"/>
        <w:ind w:firstLine="480" w:firstLineChars="200"/>
        <w:rPr>
          <w:bCs/>
          <w:sz w:val="24"/>
        </w:rPr>
      </w:pP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）本基金管理人管理的全部基金投资于同一原始权益人的各类资产支持证券，不得超过其各类资产支持证券合计规模的10％；</w:t>
      </w:r>
    </w:p>
    <w:p w14:paraId="1AF61215">
      <w:pPr>
        <w:spacing w:line="360" w:lineRule="auto"/>
        <w:ind w:firstLine="480" w:firstLineChars="200"/>
        <w:rPr>
          <w:bCs/>
          <w:sz w:val="24"/>
        </w:rPr>
      </w:pPr>
      <w:r>
        <w:rPr>
          <w:bCs/>
          <w:sz w:val="24"/>
        </w:rPr>
        <w:t>（1</w:t>
      </w:r>
      <w:r>
        <w:rPr>
          <w:rFonts w:hint="eastAsia"/>
          <w:bCs/>
          <w:sz w:val="24"/>
        </w:rPr>
        <w:t>2</w:t>
      </w:r>
      <w:r>
        <w:rPr>
          <w:bCs/>
          <w:sz w:val="24"/>
        </w:rPr>
        <w:t>）本基金应投资于信用级别评级为BBB以上(含BBB)的资产支持证券。基金持有资产支持证券期间，如果其信用等级下降、不再符合投资标准，应在评级报告发布之日起3个月内予以全部卖出；</w:t>
      </w:r>
    </w:p>
    <w:p w14:paraId="6D205F81">
      <w:pPr>
        <w:spacing w:line="360" w:lineRule="auto"/>
        <w:ind w:firstLine="480" w:firstLineChars="200"/>
        <w:rPr>
          <w:bCs/>
          <w:sz w:val="24"/>
        </w:rPr>
      </w:pP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0DFCDAB1">
      <w:pPr>
        <w:spacing w:line="360" w:lineRule="auto"/>
        <w:ind w:firstLine="480" w:firstLineChars="200"/>
        <w:rPr>
          <w:bCs/>
          <w:sz w:val="24"/>
        </w:rPr>
      </w:pPr>
      <w:r>
        <w:rPr>
          <w:bCs/>
          <w:sz w:val="24"/>
        </w:rPr>
        <w:t>（1</w:t>
      </w:r>
      <w:r>
        <w:rPr>
          <w:rFonts w:hint="eastAsia"/>
          <w:bCs/>
          <w:sz w:val="24"/>
        </w:rPr>
        <w:t>4</w:t>
      </w:r>
      <w:r>
        <w:rPr>
          <w:bCs/>
          <w:sz w:val="24"/>
        </w:rPr>
        <w:t>）本基金进入全国银行间同业市场进行债券回购的资金余额不得超过基金资产净值的40%；</w:t>
      </w:r>
      <w:r>
        <w:rPr>
          <w:rFonts w:hint="eastAsia"/>
          <w:bCs/>
          <w:sz w:val="24"/>
        </w:rPr>
        <w:t>在全国银行间同业市场中的债券回购最长期限为1年，债券回购到期后不展期；</w:t>
      </w:r>
    </w:p>
    <w:p w14:paraId="385E7179">
      <w:pPr>
        <w:spacing w:line="360" w:lineRule="auto"/>
        <w:ind w:firstLine="480" w:firstLineChars="200"/>
        <w:rPr>
          <w:bCs/>
          <w:sz w:val="24"/>
        </w:rPr>
      </w:pPr>
      <w:r>
        <w:rPr>
          <w:bCs/>
          <w:sz w:val="24"/>
        </w:rPr>
        <w:t>（1</w:t>
      </w:r>
      <w:r>
        <w:rPr>
          <w:rFonts w:hint="eastAsia"/>
          <w:bCs/>
          <w:sz w:val="24"/>
        </w:rPr>
        <w:t>5</w:t>
      </w:r>
      <w:r>
        <w:rPr>
          <w:bCs/>
          <w:sz w:val="24"/>
        </w:rPr>
        <w:t>）</w:t>
      </w:r>
      <w:r>
        <w:rPr>
          <w:rFonts w:hint="eastAsia"/>
          <w:bCs/>
          <w:sz w:val="24"/>
        </w:rPr>
        <w:t>本基金投资股指期货，遵循以下中国证监会规定的投资限制：</w:t>
      </w:r>
    </w:p>
    <w:p w14:paraId="1A33F924">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14:paraId="56E986CF">
      <w:pPr>
        <w:spacing w:line="360" w:lineRule="auto"/>
        <w:ind w:firstLine="480" w:firstLineChars="200"/>
        <w:rPr>
          <w:bCs/>
          <w:sz w:val="24"/>
        </w:rPr>
      </w:pPr>
      <w:r>
        <w:rPr>
          <w:rFonts w:hint="eastAsia"/>
          <w:bCs/>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7E59DE5">
      <w:pPr>
        <w:spacing w:line="360" w:lineRule="auto"/>
        <w:ind w:firstLine="480" w:firstLineChars="200"/>
        <w:rPr>
          <w:bCs/>
          <w:sz w:val="24"/>
        </w:rPr>
      </w:pPr>
      <w:r>
        <w:rPr>
          <w:rFonts w:hint="eastAsia"/>
          <w:bCs/>
          <w:sz w:val="24"/>
        </w:rPr>
        <w:t>3）本基金在任何交易日日终，持有的卖出期货合约价值不得超过基金持有的股票总市值的20%；</w:t>
      </w:r>
    </w:p>
    <w:p w14:paraId="1EE74D35">
      <w:pPr>
        <w:spacing w:line="360" w:lineRule="auto"/>
        <w:ind w:firstLine="480" w:firstLineChars="200"/>
        <w:rPr>
          <w:bCs/>
          <w:sz w:val="24"/>
        </w:rPr>
      </w:pPr>
      <w:r>
        <w:rPr>
          <w:rFonts w:hint="eastAsia"/>
          <w:bCs/>
          <w:sz w:val="24"/>
        </w:rPr>
        <w:t>4）本基金所持有的股票市值和买入、卖出股指期货合约价值，合计（轧差计算）占基金资产的比例为0～40%；</w:t>
      </w:r>
    </w:p>
    <w:p w14:paraId="2A89BD20">
      <w:pPr>
        <w:spacing w:line="360" w:lineRule="auto"/>
        <w:ind w:firstLine="480" w:firstLineChars="200"/>
        <w:rPr>
          <w:bCs/>
          <w:sz w:val="24"/>
        </w:rPr>
      </w:pPr>
      <w:r>
        <w:rPr>
          <w:rFonts w:hint="eastAsia"/>
          <w:bCs/>
          <w:sz w:val="24"/>
        </w:rPr>
        <w:t>5）本基金在任何交易日内交易（不包括平仓）的股指期货合约的成交金额不得超过上一交易日股票资产的20%；</w:t>
      </w:r>
    </w:p>
    <w:p w14:paraId="01294A6C">
      <w:pPr>
        <w:spacing w:line="360" w:lineRule="auto"/>
        <w:ind w:firstLine="480" w:firstLineChars="200"/>
        <w:rPr>
          <w:bCs/>
          <w:sz w:val="24"/>
        </w:rPr>
      </w:pPr>
      <w:r>
        <w:rPr>
          <w:rFonts w:hint="eastAsia"/>
          <w:bCs/>
          <w:sz w:val="24"/>
        </w:rPr>
        <w:t>（16）本基金持有单只中小企业私募债券，其市值不得超过本基金资产净值的10%；</w:t>
      </w:r>
    </w:p>
    <w:p w14:paraId="2818C3E3">
      <w:pPr>
        <w:spacing w:line="360" w:lineRule="auto"/>
        <w:ind w:firstLine="480" w:firstLineChars="200"/>
        <w:rPr>
          <w:bCs/>
          <w:sz w:val="24"/>
        </w:rPr>
      </w:pPr>
      <w:r>
        <w:rPr>
          <w:rFonts w:hint="eastAsia"/>
          <w:bCs/>
          <w:sz w:val="24"/>
        </w:rPr>
        <w:t>（17）</w:t>
      </w:r>
      <w:r>
        <w:rPr>
          <w:rFonts w:hint="eastAsia"/>
          <w:sz w:val="24"/>
        </w:rPr>
        <w:t xml:space="preserve">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 </w:t>
      </w:r>
    </w:p>
    <w:p w14:paraId="591FAD36">
      <w:pPr>
        <w:spacing w:line="360" w:lineRule="auto"/>
        <w:ind w:firstLine="480" w:firstLineChars="200"/>
        <w:rPr>
          <w:sz w:val="24"/>
        </w:rPr>
      </w:pPr>
      <w:r>
        <w:rPr>
          <w:rFonts w:hint="eastAsia"/>
          <w:bCs/>
          <w:sz w:val="24"/>
        </w:rPr>
        <w:t>（18）本基金主动投资于流动性受限资产的市值合计不得超过基金资产净值的15%，</w:t>
      </w:r>
      <w:r>
        <w:rPr>
          <w:rFonts w:hint="eastAsia"/>
          <w:sz w:val="24"/>
        </w:rPr>
        <w:t>因证券市场波动、上市公司股票停牌、基金规模变动等基金管理人之外的因素致使基金不符合前述比例限制的，基金管理人不得主动新增流动性受限资产的投资；</w:t>
      </w:r>
    </w:p>
    <w:p w14:paraId="2F44DC7A">
      <w:pPr>
        <w:spacing w:line="360" w:lineRule="auto"/>
        <w:ind w:firstLine="480" w:firstLineChars="200"/>
        <w:rPr>
          <w:bCs/>
          <w:sz w:val="24"/>
        </w:rPr>
      </w:pPr>
      <w:r>
        <w:rPr>
          <w:rFonts w:hint="eastAsia"/>
          <w:bCs/>
          <w:sz w:val="24"/>
        </w:rPr>
        <w:t>（19）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14:paraId="7FCB0D08">
      <w:pPr>
        <w:spacing w:line="360" w:lineRule="auto"/>
        <w:ind w:firstLine="480" w:firstLineChars="200"/>
        <w:rPr>
          <w:bCs/>
          <w:sz w:val="24"/>
        </w:rPr>
      </w:pPr>
      <w:r>
        <w:rPr>
          <w:rFonts w:hint="eastAsia"/>
          <w:bCs/>
          <w:sz w:val="24"/>
        </w:rPr>
        <w:t>（20）基金总资产不得超过基金净资产的140%；</w:t>
      </w:r>
    </w:p>
    <w:p w14:paraId="2BBFEE82">
      <w:pPr>
        <w:spacing w:line="360" w:lineRule="auto"/>
        <w:ind w:firstLine="480" w:firstLineChars="200"/>
        <w:rPr>
          <w:bCs/>
          <w:sz w:val="24"/>
        </w:rPr>
      </w:pPr>
      <w:r>
        <w:rPr>
          <w:rFonts w:hint="eastAsia"/>
          <w:bCs/>
          <w:sz w:val="24"/>
        </w:rPr>
        <w:t>（2</w:t>
      </w:r>
      <w:r>
        <w:rPr>
          <w:bCs/>
          <w:sz w:val="24"/>
        </w:rPr>
        <w:t>1</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D2DBBC7">
      <w:pPr>
        <w:spacing w:line="360" w:lineRule="auto"/>
        <w:ind w:firstLine="480" w:firstLineChars="200"/>
        <w:rPr>
          <w:bCs/>
          <w:sz w:val="24"/>
        </w:rPr>
      </w:pPr>
      <w:r>
        <w:rPr>
          <w:rFonts w:hint="eastAsia"/>
          <w:bCs/>
          <w:sz w:val="24"/>
        </w:rPr>
        <w:t>（</w:t>
      </w:r>
      <w:r>
        <w:rPr>
          <w:bCs/>
          <w:sz w:val="24"/>
        </w:rPr>
        <w:t>22</w:t>
      </w:r>
      <w:r>
        <w:rPr>
          <w:rFonts w:hint="eastAsia"/>
          <w:bCs/>
          <w:sz w:val="24"/>
        </w:rPr>
        <w:t>）本基金投资存托凭证的比例限制依照境内上市交易的股票执行，与境内上市交易的股票合并计算；</w:t>
      </w:r>
    </w:p>
    <w:p w14:paraId="5E89B73B">
      <w:pPr>
        <w:spacing w:line="360" w:lineRule="auto"/>
        <w:ind w:firstLine="480" w:firstLineChars="200"/>
        <w:rPr>
          <w:bCs/>
          <w:sz w:val="24"/>
        </w:rPr>
      </w:pPr>
      <w:r>
        <w:rPr>
          <w:rFonts w:hint="eastAsia"/>
          <w:bCs/>
          <w:sz w:val="24"/>
        </w:rPr>
        <w:t>（23）法律法规及中国证监会规定的和《基金合同》约定的其他投资限制。</w:t>
      </w:r>
    </w:p>
    <w:p w14:paraId="644728AD">
      <w:pPr>
        <w:spacing w:line="360" w:lineRule="auto"/>
        <w:ind w:firstLine="480" w:firstLineChars="200"/>
        <w:rPr>
          <w:bCs/>
        </w:rPr>
      </w:pPr>
      <w:r>
        <w:rPr>
          <w:rFonts w:hint="eastAsia"/>
          <w:bCs/>
          <w:sz w:val="24"/>
        </w:rPr>
        <w:t>除上述第（2）、（1</w:t>
      </w:r>
      <w:r>
        <w:rPr>
          <w:bCs/>
          <w:sz w:val="24"/>
        </w:rPr>
        <w:t>2</w:t>
      </w:r>
      <w:r>
        <w:rPr>
          <w:rFonts w:hint="eastAsia"/>
          <w:bCs/>
          <w:sz w:val="24"/>
        </w:rPr>
        <w:t>）、（</w:t>
      </w:r>
      <w:r>
        <w:rPr>
          <w:bCs/>
          <w:sz w:val="24"/>
        </w:rPr>
        <w:t>1</w:t>
      </w:r>
      <w:r>
        <w:rPr>
          <w:rFonts w:hint="eastAsia"/>
          <w:bCs/>
          <w:sz w:val="24"/>
        </w:rPr>
        <w:t>8）、（</w:t>
      </w:r>
      <w:r>
        <w:rPr>
          <w:bCs/>
          <w:sz w:val="24"/>
        </w:rPr>
        <w:t>21</w:t>
      </w:r>
      <w:r>
        <w:rPr>
          <w:rFonts w:hint="eastAsia"/>
          <w:bCs/>
          <w:sz w:val="24"/>
        </w:rPr>
        <w:t>）项外，</w:t>
      </w:r>
      <w:r>
        <w:rPr>
          <w:bCs/>
          <w:sz w:val="24"/>
        </w:rPr>
        <w:t>因证券、期货市场波动、上市公司合并、基金规模变动、股权分置改革中支付对价等基金管理人之外的因素致使基金投资比例不符合上述规定投资比例的，基金管理人应当在10个交易日内进行调整。</w:t>
      </w:r>
      <w:r>
        <w:rPr>
          <w:rFonts w:hint="eastAsia"/>
          <w:bCs/>
          <w:sz w:val="24"/>
        </w:rPr>
        <w:t>法律法规或监管部门另有规定时，从其规定。</w:t>
      </w:r>
    </w:p>
    <w:p w14:paraId="18F05150">
      <w:pPr>
        <w:spacing w:line="360" w:lineRule="auto"/>
        <w:ind w:firstLine="480" w:firstLineChars="200"/>
        <w:rPr>
          <w:bCs/>
          <w:sz w:val="24"/>
        </w:rPr>
      </w:pPr>
      <w:r>
        <w:rPr>
          <w:bCs/>
          <w:sz w:val="24"/>
        </w:rPr>
        <w:t>基金管理人应当自基金合同生效之日起</w:t>
      </w:r>
      <w:r>
        <w:rPr>
          <w:rFonts w:hint="eastAsia"/>
          <w:bCs/>
          <w:sz w:val="24"/>
        </w:rPr>
        <w:t>六</w:t>
      </w:r>
      <w:r>
        <w:rPr>
          <w:bCs/>
          <w:sz w:val="24"/>
        </w:rPr>
        <w:t>个月内使基金的投资组合比例符合基金合同的有关约定。</w:t>
      </w:r>
      <w:r>
        <w:rPr>
          <w:rFonts w:hint="eastAsia"/>
          <w:bCs/>
          <w:sz w:val="24"/>
        </w:rPr>
        <w:t>期间，本基金的投资范围、投资策略应当符合本基金合同的约定。</w:t>
      </w:r>
      <w:r>
        <w:rPr>
          <w:bCs/>
          <w:sz w:val="24"/>
        </w:rPr>
        <w:t>基金托管人对基金的投资的监督与检查自本基金合同生效之日起开始。</w:t>
      </w:r>
    </w:p>
    <w:p w14:paraId="566C2315">
      <w:pPr>
        <w:spacing w:line="360" w:lineRule="auto"/>
        <w:ind w:firstLine="480" w:firstLineChars="200"/>
        <w:rPr>
          <w:bCs/>
          <w:sz w:val="24"/>
        </w:rPr>
      </w:pPr>
      <w:r>
        <w:rPr>
          <w:rFonts w:hint="eastAsia"/>
          <w:bCs/>
          <w:sz w:val="24"/>
        </w:rPr>
        <w:t>如果法律法规对本基金合同约定投资组合比例限制进行变更的，以变更后的规定为准。</w:t>
      </w:r>
      <w:r>
        <w:rPr>
          <w:bCs/>
          <w:sz w:val="24"/>
        </w:rPr>
        <w:t>法律法规或监管部门取消上述限制，如适用于本基金，则本基金投资不再受相关限制</w:t>
      </w:r>
      <w:r>
        <w:rPr>
          <w:rFonts w:hint="eastAsia"/>
          <w:bCs/>
          <w:sz w:val="24"/>
        </w:rPr>
        <w:t>，但须提前公告，不需要经基金份额持有人大会审议</w:t>
      </w:r>
      <w:r>
        <w:rPr>
          <w:bCs/>
          <w:sz w:val="24"/>
        </w:rPr>
        <w:t>。</w:t>
      </w:r>
    </w:p>
    <w:p w14:paraId="0D8ABF3D">
      <w:pPr>
        <w:spacing w:line="360" w:lineRule="auto"/>
        <w:ind w:firstLine="480" w:firstLineChars="200"/>
        <w:rPr>
          <w:bCs/>
          <w:sz w:val="24"/>
        </w:rPr>
      </w:pPr>
      <w:r>
        <w:rPr>
          <w:bCs/>
          <w:sz w:val="24"/>
        </w:rPr>
        <w:t>2</w:t>
      </w:r>
      <w:r>
        <w:rPr>
          <w:rFonts w:hint="eastAsia"/>
          <w:bCs/>
          <w:sz w:val="24"/>
        </w:rPr>
        <w:t>、</w:t>
      </w:r>
      <w:r>
        <w:rPr>
          <w:bCs/>
          <w:sz w:val="24"/>
        </w:rPr>
        <w:t>禁止行为</w:t>
      </w:r>
    </w:p>
    <w:p w14:paraId="1ED73C23">
      <w:pPr>
        <w:spacing w:line="360" w:lineRule="auto"/>
        <w:ind w:firstLine="480" w:firstLineChars="200"/>
        <w:rPr>
          <w:bCs/>
          <w:sz w:val="24"/>
        </w:rPr>
      </w:pPr>
      <w:r>
        <w:rPr>
          <w:bCs/>
          <w:sz w:val="24"/>
        </w:rPr>
        <w:t>为维护基金份额持有人的合法权益，基金财产不得用于下列投资或者活动：</w:t>
      </w:r>
    </w:p>
    <w:p w14:paraId="422ACE4D">
      <w:pPr>
        <w:spacing w:line="360" w:lineRule="auto"/>
        <w:ind w:firstLine="480" w:firstLineChars="200"/>
        <w:rPr>
          <w:bCs/>
          <w:sz w:val="24"/>
        </w:rPr>
      </w:pPr>
      <w:r>
        <w:rPr>
          <w:bCs/>
          <w:sz w:val="24"/>
        </w:rPr>
        <w:t>（1）承销证券；</w:t>
      </w:r>
    </w:p>
    <w:p w14:paraId="7F3933AA">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07FFCD7">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14:paraId="59139627">
      <w:pPr>
        <w:spacing w:line="360" w:lineRule="auto"/>
        <w:ind w:firstLine="480" w:firstLineChars="200"/>
        <w:rPr>
          <w:bCs/>
          <w:sz w:val="24"/>
        </w:rPr>
      </w:pPr>
      <w:r>
        <w:rPr>
          <w:bCs/>
          <w:sz w:val="24"/>
        </w:rPr>
        <w:t>（</w:t>
      </w:r>
      <w:r>
        <w:rPr>
          <w:rFonts w:hint="eastAsia"/>
          <w:bCs/>
          <w:sz w:val="24"/>
        </w:rPr>
        <w:t>4</w:t>
      </w:r>
      <w:r>
        <w:rPr>
          <w:bCs/>
          <w:sz w:val="24"/>
        </w:rPr>
        <w:t>）向其基金管理人、基金托管人出资；</w:t>
      </w:r>
    </w:p>
    <w:p w14:paraId="5F742C09">
      <w:pPr>
        <w:spacing w:line="360" w:lineRule="auto"/>
        <w:ind w:firstLine="480" w:firstLineChars="200"/>
        <w:rPr>
          <w:bCs/>
          <w:sz w:val="24"/>
        </w:rPr>
      </w:pPr>
      <w:r>
        <w:rPr>
          <w:bCs/>
          <w:sz w:val="24"/>
        </w:rPr>
        <w:t>（</w:t>
      </w:r>
      <w:r>
        <w:rPr>
          <w:rFonts w:hint="eastAsia"/>
          <w:bCs/>
          <w:sz w:val="24"/>
        </w:rPr>
        <w:t>5</w:t>
      </w:r>
      <w:r>
        <w:rPr>
          <w:bCs/>
          <w:sz w:val="24"/>
        </w:rPr>
        <w:t>）从事内幕交易、操纵证券交易价格及其他不正当的证券交易活动；</w:t>
      </w:r>
    </w:p>
    <w:p w14:paraId="06CA3542">
      <w:pPr>
        <w:spacing w:line="360" w:lineRule="auto"/>
        <w:ind w:firstLine="480" w:firstLineChars="200"/>
        <w:rPr>
          <w:bCs/>
          <w:sz w:val="24"/>
        </w:rPr>
      </w:pPr>
      <w:r>
        <w:rPr>
          <w:bCs/>
          <w:sz w:val="24"/>
        </w:rPr>
        <w:t>（</w:t>
      </w:r>
      <w:r>
        <w:rPr>
          <w:rFonts w:hint="eastAsia"/>
          <w:bCs/>
          <w:sz w:val="24"/>
        </w:rPr>
        <w:t>6</w:t>
      </w:r>
      <w:r>
        <w:rPr>
          <w:bCs/>
          <w:sz w:val="24"/>
        </w:rPr>
        <w:t>）法律</w:t>
      </w:r>
      <w:r>
        <w:rPr>
          <w:rFonts w:hint="eastAsia"/>
          <w:bCs/>
          <w:sz w:val="24"/>
        </w:rPr>
        <w:t>、</w:t>
      </w:r>
      <w:r>
        <w:rPr>
          <w:bCs/>
          <w:sz w:val="24"/>
        </w:rPr>
        <w:t>法规</w:t>
      </w:r>
      <w:r>
        <w:rPr>
          <w:rFonts w:hint="eastAsia"/>
          <w:bCs/>
          <w:sz w:val="24"/>
        </w:rPr>
        <w:t>和</w:t>
      </w:r>
      <w:r>
        <w:rPr>
          <w:bCs/>
          <w:sz w:val="24"/>
        </w:rPr>
        <w:t>中国证监会规定禁止的其他活动</w:t>
      </w:r>
      <w:r>
        <w:rPr>
          <w:rFonts w:hint="eastAsia"/>
          <w:bCs/>
          <w:sz w:val="24"/>
        </w:rPr>
        <w:t>。</w:t>
      </w:r>
    </w:p>
    <w:p w14:paraId="1669CC3E">
      <w:pPr>
        <w:spacing w:line="360" w:lineRule="auto"/>
        <w:ind w:firstLine="480" w:firstLineChars="200"/>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CD20E4">
      <w:pPr>
        <w:spacing w:line="360" w:lineRule="auto"/>
        <w:ind w:firstLine="480" w:firstLineChars="200"/>
        <w:rPr>
          <w:bCs/>
          <w:sz w:val="24"/>
        </w:rPr>
      </w:pPr>
      <w:r>
        <w:rPr>
          <w:rFonts w:hint="eastAsia"/>
          <w:bCs/>
          <w:sz w:val="24"/>
        </w:rPr>
        <w:t>法律法规或监管部门取消上述限制，如适用于本基金，则本基金投资不再受相关限制。</w:t>
      </w:r>
    </w:p>
    <w:p w14:paraId="1F73B7C7">
      <w:pPr>
        <w:spacing w:line="360" w:lineRule="auto"/>
        <w:ind w:firstLine="480" w:firstLineChars="200"/>
        <w:rPr>
          <w:bCs/>
          <w:sz w:val="24"/>
        </w:rPr>
      </w:pPr>
      <w:r>
        <w:rPr>
          <w:bCs/>
          <w:sz w:val="24"/>
        </w:rPr>
        <w:t>五、业绩比较基准</w:t>
      </w:r>
    </w:p>
    <w:p w14:paraId="355E04F7">
      <w:pPr>
        <w:spacing w:line="360" w:lineRule="auto"/>
        <w:ind w:firstLine="480" w:firstLineChars="200"/>
        <w:rPr>
          <w:bCs/>
          <w:sz w:val="24"/>
        </w:rPr>
      </w:pPr>
      <w:r>
        <w:rPr>
          <w:rFonts w:hint="eastAsia"/>
          <w:bCs/>
          <w:sz w:val="24"/>
        </w:rPr>
        <w:t>本基金的业绩比较基准是：中债综合全价（总值）指数收益率</w:t>
      </w:r>
      <w:r>
        <w:rPr>
          <w:rFonts w:hint="eastAsia" w:ascii="宋体" w:hAnsi="宋体" w:cs="宋体"/>
          <w:color w:val="000000"/>
          <w:kern w:val="0"/>
          <w:sz w:val="24"/>
          <w:szCs w:val="24"/>
        </w:rPr>
        <w:t>×</w:t>
      </w:r>
      <w:r>
        <w:rPr>
          <w:rFonts w:hint="eastAsia"/>
          <w:bCs/>
          <w:sz w:val="24"/>
        </w:rPr>
        <w:t>60%+沪深300指数收益率</w:t>
      </w:r>
      <w:r>
        <w:rPr>
          <w:rFonts w:hint="eastAsia" w:ascii="宋体" w:hAnsi="宋体" w:cs="宋体"/>
          <w:color w:val="000000"/>
          <w:kern w:val="0"/>
          <w:sz w:val="24"/>
          <w:szCs w:val="24"/>
        </w:rPr>
        <w:t>×</w:t>
      </w:r>
      <w:r>
        <w:rPr>
          <w:rFonts w:hint="eastAsia"/>
          <w:bCs/>
          <w:sz w:val="24"/>
        </w:rPr>
        <w:t>40%</w:t>
      </w:r>
    </w:p>
    <w:p w14:paraId="72F14FFE">
      <w:pPr>
        <w:spacing w:line="360" w:lineRule="auto"/>
        <w:ind w:firstLine="480" w:firstLineChars="200"/>
        <w:rPr>
          <w:bCs/>
          <w:sz w:val="24"/>
        </w:rPr>
      </w:pPr>
      <w:r>
        <w:rPr>
          <w:rFonts w:hint="eastAsia"/>
          <w:bCs/>
          <w:sz w:val="24"/>
        </w:rPr>
        <w:t>本基金为混合型证券投资基金，但主要是以投资债券为主，通过新股申购和股票二级市场投资等方式增加收益的绝对收益产品，因此采用上述指数收益率作为比较基准。</w:t>
      </w:r>
    </w:p>
    <w:p w14:paraId="2E96C26E">
      <w:pPr>
        <w:spacing w:line="360" w:lineRule="auto"/>
        <w:ind w:firstLine="480" w:firstLineChars="200"/>
        <w:rPr>
          <w:bCs/>
          <w:sz w:val="24"/>
        </w:rPr>
      </w:pPr>
      <w:r>
        <w:rPr>
          <w:rFonts w:hint="eastAsia"/>
          <w:bCs/>
          <w:sz w:val="24"/>
        </w:rPr>
        <w:t>采用该业绩比较基准主要基于如下考虑：</w:t>
      </w:r>
    </w:p>
    <w:p w14:paraId="68ADB2E0">
      <w:pPr>
        <w:spacing w:line="360" w:lineRule="auto"/>
        <w:ind w:firstLine="480" w:firstLineChars="200"/>
        <w:rPr>
          <w:bCs/>
          <w:sz w:val="24"/>
        </w:rPr>
      </w:pPr>
      <w:r>
        <w:rPr>
          <w:rFonts w:hint="eastAsia"/>
          <w:bCs/>
          <w:sz w:val="24"/>
        </w:rPr>
        <w:t>1、中债综合全价（总值）指数由中证指数有限公司编制。指数涵盖了银行间市场和沪深交易所市场，具有广泛的市场代表性，适合作为本基金的业绩比较基准。</w:t>
      </w:r>
    </w:p>
    <w:p w14:paraId="6AB42F10">
      <w:pPr>
        <w:spacing w:line="360" w:lineRule="auto"/>
        <w:ind w:firstLine="480" w:firstLineChars="200"/>
        <w:rPr>
          <w:bCs/>
          <w:sz w:val="24"/>
        </w:rPr>
      </w:pPr>
      <w:r>
        <w:rPr>
          <w:rFonts w:hint="eastAsia"/>
          <w:bCs/>
          <w:sz w:val="24"/>
        </w:rPr>
        <w:t>2、沪深300指数编制合理、透明、运用广泛，具有较强的代表性和权威性。</w:t>
      </w:r>
    </w:p>
    <w:p w14:paraId="1D7E640A">
      <w:pPr>
        <w:spacing w:line="360" w:lineRule="auto"/>
        <w:ind w:firstLine="480" w:firstLineChars="200"/>
        <w:rPr>
          <w:bCs/>
          <w:sz w:val="24"/>
        </w:rPr>
      </w:pPr>
      <w:r>
        <w:rPr>
          <w:rFonts w:hint="eastAsia"/>
          <w:bCs/>
          <w:sz w:val="24"/>
        </w:rPr>
        <w:t>3、作为偏债混合型基金，选择该业绩比较基准能够真实反映本基金长期动态的资产配置目标和风险收益特征。</w:t>
      </w:r>
    </w:p>
    <w:p w14:paraId="14D08457">
      <w:pPr>
        <w:spacing w:line="360" w:lineRule="auto"/>
        <w:ind w:firstLine="480" w:firstLineChars="200"/>
        <w:rPr>
          <w:bCs/>
          <w:sz w:val="24"/>
        </w:rPr>
      </w:pPr>
      <w:r>
        <w:rPr>
          <w:rFonts w:hint="eastAsia"/>
          <w:bCs/>
          <w:sz w:val="24"/>
        </w:rPr>
        <w:t>如果今后上述基准指数停止计算编制或更改名称，或法律法规发生变化，或者有更权威的、更能为市场普遍接受的业绩比较基准推出，或市场中出现更适用于本基金的比较基准指数，本基金可以在征得基金托管人同意后报中国证监会备案后变更业绩比较基准，并及时公告。</w:t>
      </w:r>
    </w:p>
    <w:p w14:paraId="1E71B3A2">
      <w:pPr>
        <w:spacing w:line="360" w:lineRule="auto"/>
        <w:ind w:firstLine="480" w:firstLineChars="200"/>
        <w:rPr>
          <w:bCs/>
          <w:sz w:val="24"/>
        </w:rPr>
      </w:pPr>
      <w:r>
        <w:rPr>
          <w:bCs/>
          <w:sz w:val="24"/>
        </w:rPr>
        <w:t>六、风险收益特征</w:t>
      </w:r>
    </w:p>
    <w:p w14:paraId="0B04FFE8">
      <w:pPr>
        <w:spacing w:line="360" w:lineRule="auto"/>
        <w:ind w:firstLine="480" w:firstLineChars="200"/>
        <w:rPr>
          <w:bCs/>
          <w:sz w:val="24"/>
        </w:rPr>
      </w:pPr>
      <w:r>
        <w:rPr>
          <w:rFonts w:hint="eastAsia"/>
          <w:bCs/>
          <w:sz w:val="24"/>
        </w:rPr>
        <w:t>本基金是混合型证券投资基金，预期风险和预期收益高于债券型基金和货币市场基金，但低于股票型基金，属于证券投资基金中的中等风险和中等预期收益产品。</w:t>
      </w:r>
    </w:p>
    <w:p w14:paraId="59DA27A5">
      <w:pPr>
        <w:spacing w:line="360" w:lineRule="auto"/>
        <w:ind w:firstLine="480" w:firstLineChars="200"/>
        <w:rPr>
          <w:bCs/>
          <w:sz w:val="24"/>
        </w:rPr>
      </w:pPr>
      <w:r>
        <w:rPr>
          <w:rFonts w:hint="eastAsia"/>
          <w:bCs/>
          <w:sz w:val="24"/>
        </w:rPr>
        <w:t>七、基金管理人代表基金行使相关权利的处理原则及方法</w:t>
      </w:r>
    </w:p>
    <w:p w14:paraId="212FBFE8">
      <w:pPr>
        <w:spacing w:line="360" w:lineRule="auto"/>
        <w:ind w:firstLine="480" w:firstLineChars="200"/>
        <w:rPr>
          <w:bCs/>
          <w:sz w:val="24"/>
        </w:rPr>
      </w:pPr>
      <w:r>
        <w:rPr>
          <w:rFonts w:hint="eastAsia"/>
          <w:bCs/>
          <w:sz w:val="24"/>
        </w:rPr>
        <w:t>1、有利于基金资产的安全与增值；</w:t>
      </w:r>
    </w:p>
    <w:p w14:paraId="3FE1EE63">
      <w:pPr>
        <w:spacing w:line="360" w:lineRule="auto"/>
        <w:ind w:firstLine="480" w:firstLineChars="200"/>
        <w:rPr>
          <w:bCs/>
          <w:sz w:val="24"/>
        </w:rPr>
      </w:pPr>
      <w:r>
        <w:rPr>
          <w:rFonts w:hint="eastAsia"/>
          <w:bCs/>
          <w:sz w:val="24"/>
        </w:rPr>
        <w:t>2、基金管理人按照国家有关规定代表基金独立行使相关权利，保护基金份额持有人的利益；</w:t>
      </w:r>
    </w:p>
    <w:p w14:paraId="59833444">
      <w:pPr>
        <w:spacing w:line="360" w:lineRule="auto"/>
        <w:ind w:firstLine="480" w:firstLineChars="200"/>
        <w:rPr>
          <w:bCs/>
          <w:sz w:val="24"/>
        </w:rPr>
      </w:pPr>
      <w:r>
        <w:rPr>
          <w:rFonts w:hint="eastAsia"/>
          <w:bCs/>
          <w:sz w:val="24"/>
        </w:rPr>
        <w:t>3、不通过关联交易为自身、雇员、授权代理人或任何存在利害关系的第三人牟取任何不当利益；</w:t>
      </w:r>
    </w:p>
    <w:p w14:paraId="1978E88D">
      <w:pPr>
        <w:spacing w:line="360" w:lineRule="auto"/>
        <w:ind w:firstLine="480" w:firstLineChars="200"/>
        <w:rPr>
          <w:bCs/>
          <w:sz w:val="24"/>
        </w:rPr>
      </w:pPr>
      <w:r>
        <w:rPr>
          <w:rFonts w:hint="eastAsia"/>
          <w:bCs/>
          <w:sz w:val="24"/>
        </w:rPr>
        <w:t>4、不谋求对上市公司的控股，不参与所投资上市公司的经营管理。</w:t>
      </w:r>
    </w:p>
    <w:p w14:paraId="4E7E2683">
      <w:pPr>
        <w:spacing w:line="360" w:lineRule="auto"/>
        <w:ind w:firstLine="480" w:firstLineChars="200"/>
        <w:rPr>
          <w:bCs/>
          <w:sz w:val="24"/>
        </w:rPr>
      </w:pPr>
      <w:r>
        <w:rPr>
          <w:rFonts w:hint="eastAsia"/>
          <w:bCs/>
          <w:sz w:val="24"/>
        </w:rPr>
        <w:t>八、侧袋机制的实施和投资运作安排</w:t>
      </w:r>
    </w:p>
    <w:p w14:paraId="58985FC2">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689E6C17">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14:paraId="20A5ADA9">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0F03F72D">
      <w:pPr>
        <w:spacing w:line="360" w:lineRule="auto"/>
        <w:ind w:firstLine="480" w:firstLineChars="200"/>
        <w:rPr>
          <w:bCs/>
          <w:sz w:val="24"/>
        </w:rPr>
      </w:pPr>
    </w:p>
    <w:p w14:paraId="262E3777">
      <w:pPr>
        <w:spacing w:line="360" w:lineRule="auto"/>
        <w:ind w:firstLine="480" w:firstLineChars="200"/>
        <w:rPr>
          <w:bCs/>
          <w:sz w:val="24"/>
        </w:rPr>
      </w:pPr>
    </w:p>
    <w:p w14:paraId="561299F5">
      <w:pPr>
        <w:spacing w:line="360" w:lineRule="auto"/>
        <w:rPr>
          <w:bCs/>
          <w:sz w:val="24"/>
        </w:rPr>
      </w:pPr>
      <w:r>
        <w:rPr>
          <w:bCs/>
          <w:sz w:val="24"/>
        </w:rPr>
        <w:t xml:space="preserve">                                                               </w:t>
      </w:r>
    </w:p>
    <w:p w14:paraId="22A94205">
      <w:pPr>
        <w:pStyle w:val="2"/>
        <w:spacing w:before="0" w:after="0"/>
        <w:jc w:val="center"/>
        <w:rPr>
          <w:rFonts w:ascii="Times New Roman"/>
          <w:color w:val="auto"/>
          <w:sz w:val="30"/>
        </w:rPr>
      </w:pPr>
      <w:bookmarkStart w:id="290" w:name="_Toc92662704"/>
      <w:bookmarkStart w:id="291" w:name="_Toc93226145"/>
      <w:bookmarkStart w:id="292" w:name="_Toc139991743"/>
      <w:bookmarkStart w:id="293" w:name="_Toc31611"/>
      <w:bookmarkStart w:id="294" w:name="_Toc32030"/>
      <w:bookmarkStart w:id="295" w:name="_Toc3054"/>
      <w:bookmarkStart w:id="296" w:name="_Toc21642"/>
      <w:bookmarkStart w:id="297" w:name="_Toc24474"/>
      <w:bookmarkStart w:id="298" w:name="_Toc20102"/>
      <w:bookmarkStart w:id="299" w:name="_Toc26114"/>
      <w:bookmarkStart w:id="300" w:name="_Toc141703893"/>
      <w:bookmarkStart w:id="301" w:name="_Toc18000"/>
      <w:bookmarkStart w:id="302" w:name="_Toc128310496"/>
      <w:bookmarkStart w:id="303" w:name="_Toc29561"/>
      <w:bookmarkStart w:id="304" w:name="_Toc20782"/>
      <w:bookmarkStart w:id="305" w:name="_Toc13819"/>
      <w:r>
        <w:rPr>
          <w:rFonts w:ascii="Times New Roman"/>
          <w:color w:val="auto"/>
          <w:sz w:val="30"/>
        </w:rPr>
        <w:t>第十三部分  基金</w:t>
      </w:r>
      <w:bookmarkEnd w:id="290"/>
      <w:bookmarkEnd w:id="291"/>
      <w:r>
        <w:rPr>
          <w:rFonts w:ascii="Times New Roman"/>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2567083">
      <w:pPr>
        <w:spacing w:line="360" w:lineRule="auto"/>
        <w:ind w:firstLine="480" w:firstLineChars="200"/>
        <w:rPr>
          <w:bCs/>
          <w:sz w:val="24"/>
        </w:rPr>
      </w:pPr>
    </w:p>
    <w:p w14:paraId="5927425B">
      <w:pPr>
        <w:spacing w:line="360" w:lineRule="auto"/>
        <w:ind w:firstLine="480" w:firstLineChars="200"/>
        <w:rPr>
          <w:bCs/>
          <w:sz w:val="24"/>
        </w:rPr>
      </w:pPr>
      <w:r>
        <w:rPr>
          <w:bCs/>
          <w:sz w:val="24"/>
        </w:rPr>
        <w:t>一、基金资产总值</w:t>
      </w:r>
    </w:p>
    <w:p w14:paraId="5229850F">
      <w:pPr>
        <w:spacing w:line="360" w:lineRule="auto"/>
        <w:ind w:firstLine="480" w:firstLineChars="20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证券、银行存款本息和基金应收的款</w:t>
      </w:r>
      <w:r>
        <w:rPr>
          <w:rFonts w:hint="eastAsia"/>
          <w:bCs/>
          <w:sz w:val="24"/>
        </w:rPr>
        <w:t>项</w:t>
      </w:r>
      <w:r>
        <w:rPr>
          <w:bCs/>
          <w:sz w:val="24"/>
        </w:rPr>
        <w:t>以及其他</w:t>
      </w:r>
      <w:r>
        <w:rPr>
          <w:rFonts w:hint="eastAsia"/>
          <w:bCs/>
          <w:sz w:val="24"/>
        </w:rPr>
        <w:t>资产的</w:t>
      </w:r>
      <w:r>
        <w:rPr>
          <w:bCs/>
          <w:sz w:val="24"/>
        </w:rPr>
        <w:t>价值总和。</w:t>
      </w:r>
    </w:p>
    <w:p w14:paraId="1DE26EC9">
      <w:pPr>
        <w:spacing w:line="360" w:lineRule="auto"/>
        <w:ind w:firstLine="480" w:firstLineChars="200"/>
        <w:rPr>
          <w:bCs/>
          <w:sz w:val="24"/>
        </w:rPr>
      </w:pPr>
      <w:r>
        <w:rPr>
          <w:bCs/>
          <w:sz w:val="24"/>
        </w:rPr>
        <w:t>二、基金资产净值</w:t>
      </w:r>
    </w:p>
    <w:p w14:paraId="12C0E2CC">
      <w:pPr>
        <w:spacing w:line="360" w:lineRule="auto"/>
        <w:ind w:firstLine="480" w:firstLineChars="200"/>
        <w:rPr>
          <w:bCs/>
          <w:sz w:val="24"/>
        </w:rPr>
      </w:pPr>
      <w:r>
        <w:rPr>
          <w:bCs/>
          <w:sz w:val="24"/>
        </w:rPr>
        <w:t>基金资产净值是指基金资产总值减去基金负债后的价值。</w:t>
      </w:r>
    </w:p>
    <w:p w14:paraId="0CC9746B">
      <w:pPr>
        <w:spacing w:line="360" w:lineRule="auto"/>
        <w:ind w:firstLine="480" w:firstLineChars="200"/>
        <w:rPr>
          <w:bCs/>
          <w:sz w:val="24"/>
        </w:rPr>
      </w:pPr>
      <w:r>
        <w:rPr>
          <w:bCs/>
          <w:sz w:val="24"/>
        </w:rPr>
        <w:t>三、基金财产的账户</w:t>
      </w:r>
    </w:p>
    <w:p w14:paraId="2783EB37">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6" w:name="_Hlt88841837"/>
      <w:bookmarkEnd w:id="306"/>
    </w:p>
    <w:p w14:paraId="0AE35541">
      <w:pPr>
        <w:spacing w:line="360" w:lineRule="auto"/>
        <w:ind w:firstLine="480" w:firstLineChars="200"/>
        <w:rPr>
          <w:bCs/>
          <w:sz w:val="24"/>
        </w:rPr>
      </w:pPr>
      <w:r>
        <w:rPr>
          <w:bCs/>
          <w:sz w:val="24"/>
        </w:rPr>
        <w:t>四、基金财产的保管和处分</w:t>
      </w:r>
      <w:bookmarkStart w:id="307" w:name="_Hlt88900062"/>
      <w:bookmarkEnd w:id="307"/>
    </w:p>
    <w:p w14:paraId="4E4A61E6">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69A92BE">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2FC42DD">
      <w:pPr>
        <w:pStyle w:val="2"/>
        <w:spacing w:before="0" w:after="0"/>
        <w:jc w:val="center"/>
        <w:rPr>
          <w:rFonts w:ascii="Times New Roman"/>
          <w:color w:val="auto"/>
          <w:sz w:val="30"/>
        </w:rPr>
      </w:pPr>
      <w:r>
        <w:rPr>
          <w:rFonts w:ascii="Times New Roman"/>
          <w:b w:val="0"/>
          <w:bCs/>
          <w:color w:val="auto"/>
          <w:kern w:val="44"/>
          <w:sz w:val="21"/>
        </w:rPr>
        <w:br w:type="page"/>
      </w:r>
      <w:bookmarkStart w:id="308" w:name="_Toc871"/>
      <w:bookmarkStart w:id="309" w:name="_Toc2623"/>
      <w:bookmarkStart w:id="310" w:name="_Toc31917"/>
      <w:bookmarkStart w:id="311" w:name="_Toc7802"/>
      <w:bookmarkStart w:id="312" w:name="_Toc19714"/>
      <w:bookmarkStart w:id="313" w:name="_Toc17782"/>
      <w:bookmarkStart w:id="314" w:name="_Toc27832"/>
      <w:bookmarkStart w:id="315" w:name="_Toc139991744"/>
      <w:bookmarkStart w:id="316" w:name="_Toc141703894"/>
      <w:r>
        <w:rPr>
          <w:rFonts w:ascii="Times New Roman"/>
          <w:color w:val="auto"/>
          <w:sz w:val="30"/>
        </w:rPr>
        <w:t>第十四部分  基金资产估值</w:t>
      </w:r>
      <w:bookmarkEnd w:id="308"/>
      <w:bookmarkEnd w:id="309"/>
      <w:bookmarkEnd w:id="310"/>
      <w:bookmarkEnd w:id="311"/>
      <w:bookmarkEnd w:id="312"/>
      <w:bookmarkEnd w:id="313"/>
      <w:bookmarkEnd w:id="314"/>
    </w:p>
    <w:p w14:paraId="629DE8D5">
      <w:pPr>
        <w:spacing w:line="360" w:lineRule="auto"/>
        <w:ind w:firstLine="480" w:firstLineChars="200"/>
        <w:rPr>
          <w:bCs/>
          <w:sz w:val="24"/>
        </w:rPr>
      </w:pPr>
    </w:p>
    <w:bookmarkEnd w:id="315"/>
    <w:bookmarkEnd w:id="316"/>
    <w:p w14:paraId="5EFA1755">
      <w:pPr>
        <w:spacing w:line="360" w:lineRule="auto"/>
        <w:ind w:firstLine="480" w:firstLineChars="200"/>
        <w:rPr>
          <w:bCs/>
          <w:sz w:val="24"/>
        </w:rPr>
      </w:pPr>
      <w:bookmarkStart w:id="317" w:name="_Toc141703895"/>
      <w:bookmarkStart w:id="318" w:name="_Toc139991745"/>
      <w:bookmarkStart w:id="319" w:name="_Toc32046"/>
      <w:r>
        <w:rPr>
          <w:bCs/>
          <w:sz w:val="24"/>
        </w:rPr>
        <w:t>一、估值日</w:t>
      </w:r>
    </w:p>
    <w:p w14:paraId="3B5DFD8F">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14:paraId="1FD51D16">
      <w:pPr>
        <w:spacing w:line="360" w:lineRule="auto"/>
        <w:ind w:firstLine="480" w:firstLineChars="200"/>
        <w:rPr>
          <w:bCs/>
          <w:sz w:val="24"/>
        </w:rPr>
      </w:pPr>
      <w:r>
        <w:rPr>
          <w:bCs/>
          <w:sz w:val="24"/>
        </w:rPr>
        <w:t>二、估值对象</w:t>
      </w:r>
    </w:p>
    <w:p w14:paraId="4DC98911">
      <w:pPr>
        <w:spacing w:line="360" w:lineRule="auto"/>
        <w:ind w:firstLine="480" w:firstLineChars="200"/>
        <w:rPr>
          <w:bCs/>
          <w:sz w:val="24"/>
        </w:rPr>
      </w:pPr>
      <w:r>
        <w:rPr>
          <w:bCs/>
          <w:sz w:val="24"/>
        </w:rPr>
        <w:t>基金所拥有的股票、</w:t>
      </w:r>
      <w:r>
        <w:rPr>
          <w:rFonts w:hint="eastAsia"/>
          <w:bCs/>
          <w:sz w:val="24"/>
        </w:rPr>
        <w:t>股指期货、</w:t>
      </w:r>
      <w:r>
        <w:rPr>
          <w:bCs/>
          <w:sz w:val="24"/>
        </w:rPr>
        <w:t>权证、债券和银行存款本息、应收款项、其它投资等资产及负债。</w:t>
      </w:r>
    </w:p>
    <w:p w14:paraId="479C343B">
      <w:pPr>
        <w:spacing w:line="360" w:lineRule="auto"/>
        <w:ind w:firstLine="480" w:firstLineChars="200"/>
        <w:rPr>
          <w:bCs/>
          <w:sz w:val="24"/>
        </w:rPr>
      </w:pPr>
      <w:r>
        <w:rPr>
          <w:bCs/>
          <w:sz w:val="24"/>
        </w:rPr>
        <w:t>三、估值方法</w:t>
      </w:r>
    </w:p>
    <w:p w14:paraId="4E8C9A38">
      <w:pPr>
        <w:spacing w:line="360" w:lineRule="auto"/>
        <w:ind w:firstLine="480" w:firstLineChars="200"/>
        <w:rPr>
          <w:bCs/>
          <w:sz w:val="24"/>
        </w:rPr>
      </w:pPr>
      <w:r>
        <w:rPr>
          <w:rFonts w:hint="eastAsia"/>
          <w:bCs/>
          <w:sz w:val="24"/>
        </w:rPr>
        <w:t xml:space="preserve">本基金所持有的投资品种，按如下原则进行估值： </w:t>
      </w:r>
    </w:p>
    <w:p w14:paraId="03052792">
      <w:pPr>
        <w:spacing w:line="360" w:lineRule="auto"/>
        <w:ind w:firstLine="480" w:firstLineChars="200"/>
        <w:rPr>
          <w:bCs/>
          <w:sz w:val="24"/>
        </w:rPr>
      </w:pPr>
      <w:r>
        <w:rPr>
          <w:rFonts w:hint="eastAsia"/>
          <w:bCs/>
          <w:sz w:val="24"/>
        </w:rPr>
        <w:t xml:space="preserve">1、对存在活跃市场的投资品种，如估值日有市价的，采用市价确定公允价值；估值日无市价，但最近交易日后经济环境未发生重大变化且证券发行机构未发生影响证券价格的重大事件的，采用最近交易市价确定公允价值。 </w:t>
      </w:r>
    </w:p>
    <w:p w14:paraId="77CBBB9E">
      <w:pPr>
        <w:spacing w:line="360" w:lineRule="auto"/>
        <w:ind w:firstLine="480" w:firstLineChars="200"/>
        <w:rPr>
          <w:bCs/>
          <w:sz w:val="24"/>
        </w:rPr>
      </w:pPr>
      <w:r>
        <w:rPr>
          <w:rFonts w:hint="eastAsia"/>
          <w:bCs/>
          <w:sz w:val="24"/>
        </w:rPr>
        <w:t xml:space="preserve">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 </w:t>
      </w:r>
    </w:p>
    <w:p w14:paraId="5DE9835A">
      <w:pPr>
        <w:spacing w:line="360" w:lineRule="auto"/>
        <w:ind w:firstLine="480" w:firstLineChars="200"/>
        <w:rPr>
          <w:bCs/>
          <w:sz w:val="24"/>
        </w:rPr>
      </w:pPr>
      <w:r>
        <w:rPr>
          <w:rFonts w:hint="eastAsia"/>
          <w:bCs/>
          <w:sz w:val="24"/>
        </w:rPr>
        <w:t xml:space="preserve">3、当投资品种不存在活跃市场，采用市场参与者普遍认同，或被以往市场实际交易价格验证的估值技术，确定投资品种的公允价值。 </w:t>
      </w:r>
    </w:p>
    <w:p w14:paraId="6260F447">
      <w:pPr>
        <w:spacing w:line="360" w:lineRule="auto"/>
        <w:ind w:firstLine="480" w:firstLineChars="200"/>
        <w:rPr>
          <w:bCs/>
          <w:sz w:val="24"/>
        </w:rPr>
      </w:pPr>
      <w:r>
        <w:rPr>
          <w:rFonts w:hint="eastAsia"/>
          <w:bCs/>
          <w:sz w:val="24"/>
        </w:rPr>
        <w:t>4、本基金投资股指期货合约，一般以估值当日结算价进行估值，估值当日无结算价的，且最近交易日后经济环境未发生重大变化的，采用最近交易日结算价估值。</w:t>
      </w:r>
    </w:p>
    <w:p w14:paraId="3C8826CD">
      <w:pPr>
        <w:spacing w:line="360" w:lineRule="auto"/>
        <w:ind w:firstLine="480" w:firstLineChars="200"/>
        <w:rPr>
          <w:bCs/>
          <w:sz w:val="24"/>
        </w:rPr>
      </w:pPr>
      <w:r>
        <w:rPr>
          <w:rFonts w:hint="eastAsia"/>
          <w:bCs/>
          <w:sz w:val="24"/>
        </w:rPr>
        <w:t xml:space="preserve">5、在不违背上述公允价值确定原则的前提下，本基金可以采用第三方估值机构提供的相关数据。 </w:t>
      </w:r>
    </w:p>
    <w:p w14:paraId="4E456C99">
      <w:pPr>
        <w:spacing w:line="360" w:lineRule="auto"/>
        <w:ind w:firstLine="480" w:firstLineChars="200"/>
        <w:rPr>
          <w:bCs/>
          <w:sz w:val="24"/>
        </w:rPr>
      </w:pPr>
      <w:r>
        <w:rPr>
          <w:rFonts w:hint="eastAsia"/>
          <w:bCs/>
          <w:sz w:val="24"/>
        </w:rPr>
        <w:t>6、本基金投资存托凭证的估值核算，依照境内上市交易的股票执行。</w:t>
      </w:r>
    </w:p>
    <w:p w14:paraId="58641986">
      <w:pPr>
        <w:spacing w:line="360" w:lineRule="auto"/>
        <w:ind w:firstLine="480" w:firstLineChars="200"/>
        <w:rPr>
          <w:bCs/>
          <w:sz w:val="24"/>
        </w:rPr>
      </w:pPr>
      <w:r>
        <w:rPr>
          <w:rFonts w:hint="eastAsia"/>
          <w:bCs/>
          <w:sz w:val="24"/>
        </w:rPr>
        <w:t xml:space="preserve">7、如有充足理由认为按上述方法进行估值不能客观反映其公允价值的，基金管理人可根据具体情况与基金托管人商定后，按最能反映公允价值的价格估值。 </w:t>
      </w:r>
    </w:p>
    <w:p w14:paraId="133411C2">
      <w:pPr>
        <w:spacing w:line="360" w:lineRule="auto"/>
        <w:ind w:firstLine="480" w:firstLineChars="200"/>
        <w:rPr>
          <w:bCs/>
          <w:sz w:val="24"/>
        </w:rPr>
      </w:pPr>
      <w:r>
        <w:rPr>
          <w:rFonts w:hint="eastAsia"/>
          <w:bCs/>
          <w:sz w:val="24"/>
        </w:rPr>
        <w:t xml:space="preserve">8、存在相关法律法规以及监管部门有相关规范且适用于本基金的，从其规定。如有新增事项，按国家最新规定估值。 </w:t>
      </w:r>
    </w:p>
    <w:p w14:paraId="4F99FE6A">
      <w:pPr>
        <w:spacing w:line="360" w:lineRule="auto"/>
        <w:ind w:firstLine="480" w:firstLineChars="200"/>
        <w:rPr>
          <w:bCs/>
          <w:sz w:val="24"/>
        </w:rPr>
      </w:pPr>
      <w:r>
        <w:rPr>
          <w:rFonts w:hint="eastAsia"/>
          <w:bCs/>
          <w:sz w:val="24"/>
        </w:rPr>
        <w:t xml:space="preserve">如基金管理人或基金托管人发现基金估值违反基金合同订明的估值方法、程序及相关法律法规的规定或者未能充分维护基金份额持有人利益时，应立即通知对方，共同查明原因，双方协商解决。 </w:t>
      </w:r>
    </w:p>
    <w:p w14:paraId="61C21886">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E33BBB9">
      <w:pPr>
        <w:spacing w:line="360" w:lineRule="auto"/>
        <w:ind w:firstLine="480" w:firstLineChars="200"/>
        <w:rPr>
          <w:bCs/>
          <w:sz w:val="24"/>
        </w:rPr>
      </w:pPr>
      <w:r>
        <w:rPr>
          <w:bCs/>
          <w:sz w:val="24"/>
        </w:rPr>
        <w:t>四、估值程序</w:t>
      </w:r>
    </w:p>
    <w:p w14:paraId="51B58963">
      <w:pPr>
        <w:spacing w:line="360" w:lineRule="auto"/>
        <w:ind w:firstLine="480" w:firstLineChars="200"/>
        <w:rPr>
          <w:bCs/>
          <w:sz w:val="24"/>
        </w:rPr>
      </w:pPr>
      <w:r>
        <w:rPr>
          <w:bCs/>
          <w:sz w:val="24"/>
        </w:rPr>
        <w:t>1、基金份额净值</w:t>
      </w:r>
      <w:r>
        <w:rPr>
          <w:rFonts w:hint="eastAsia"/>
          <w:bCs/>
          <w:sz w:val="24"/>
        </w:rPr>
        <w:t>（含各类基金份额的基金份额净值，下同）</w:t>
      </w:r>
      <w:r>
        <w:rPr>
          <w:bCs/>
          <w:sz w:val="24"/>
        </w:rPr>
        <w:t>是按照每个工作日闭市后，</w:t>
      </w:r>
      <w:r>
        <w:rPr>
          <w:rFonts w:hint="eastAsia"/>
          <w:bCs/>
          <w:sz w:val="24"/>
        </w:rPr>
        <w:t>相应类别的</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14:paraId="3C648B6F">
      <w:pPr>
        <w:spacing w:line="360" w:lineRule="auto"/>
        <w:ind w:firstLine="480" w:firstLineChars="200"/>
        <w:rPr>
          <w:bCs/>
          <w:sz w:val="24"/>
        </w:rPr>
      </w:pPr>
      <w:r>
        <w:rPr>
          <w:bCs/>
          <w:sz w:val="24"/>
        </w:rPr>
        <w:t>每个工作日计算</w:t>
      </w:r>
      <w:r>
        <w:rPr>
          <w:rFonts w:hint="eastAsia"/>
          <w:bCs/>
          <w:sz w:val="24"/>
        </w:rPr>
        <w:t>各类基金份额的</w:t>
      </w:r>
      <w:r>
        <w:rPr>
          <w:bCs/>
          <w:sz w:val="24"/>
        </w:rPr>
        <w:t>基金资产净值及基金份额净值，并按规定公告。</w:t>
      </w:r>
    </w:p>
    <w:p w14:paraId="7845ED73">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基金份额净值结果发送基金托管人，经基金托管人复核无误后，由基金管理人对外公布。</w:t>
      </w:r>
    </w:p>
    <w:p w14:paraId="2DB34399">
      <w:pPr>
        <w:spacing w:line="360" w:lineRule="auto"/>
        <w:ind w:firstLine="480" w:firstLineChars="200"/>
        <w:rPr>
          <w:bCs/>
          <w:sz w:val="24"/>
        </w:rPr>
      </w:pPr>
      <w:r>
        <w:rPr>
          <w:bCs/>
          <w:sz w:val="24"/>
        </w:rPr>
        <w:t>五、估值错误的处理</w:t>
      </w:r>
    </w:p>
    <w:p w14:paraId="513510EF">
      <w:pPr>
        <w:spacing w:line="360" w:lineRule="auto"/>
        <w:ind w:firstLine="480" w:firstLineChars="20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3</w:t>
      </w:r>
      <w:r>
        <w:rPr>
          <w:bCs/>
          <w:sz w:val="24"/>
        </w:rPr>
        <w:t>位以内(含第</w:t>
      </w:r>
      <w:r>
        <w:rPr>
          <w:rFonts w:hint="eastAsia"/>
          <w:bCs/>
          <w:sz w:val="24"/>
        </w:rPr>
        <w:t>3</w:t>
      </w:r>
      <w:r>
        <w:rPr>
          <w:bCs/>
          <w:sz w:val="24"/>
        </w:rPr>
        <w:t>位)发生估值错误时，视为</w:t>
      </w:r>
      <w:r>
        <w:rPr>
          <w:rFonts w:hint="eastAsia"/>
          <w:bCs/>
          <w:sz w:val="24"/>
        </w:rPr>
        <w:t>该类</w:t>
      </w:r>
      <w:r>
        <w:rPr>
          <w:bCs/>
          <w:sz w:val="24"/>
        </w:rPr>
        <w:t>基金份额净值错误。</w:t>
      </w:r>
    </w:p>
    <w:p w14:paraId="7BD77E2E">
      <w:pPr>
        <w:spacing w:line="360" w:lineRule="auto"/>
        <w:ind w:firstLine="480" w:firstLineChars="200"/>
        <w:rPr>
          <w:bCs/>
          <w:sz w:val="24"/>
        </w:rPr>
      </w:pPr>
      <w:r>
        <w:rPr>
          <w:bCs/>
          <w:sz w:val="24"/>
        </w:rPr>
        <w:t>本基金合同的当事人应按照以下约定处理：</w:t>
      </w:r>
    </w:p>
    <w:p w14:paraId="1510B75B">
      <w:pPr>
        <w:spacing w:line="360" w:lineRule="auto"/>
        <w:ind w:firstLine="480" w:firstLineChars="200"/>
        <w:rPr>
          <w:bCs/>
          <w:sz w:val="24"/>
        </w:rPr>
      </w:pPr>
      <w:r>
        <w:rPr>
          <w:bCs/>
          <w:sz w:val="24"/>
        </w:rPr>
        <w:t>1、估值错误类型</w:t>
      </w:r>
    </w:p>
    <w:p w14:paraId="3D56CF49">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65B0A52">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14:paraId="2DA7CDB9">
      <w:pPr>
        <w:spacing w:line="360" w:lineRule="auto"/>
        <w:ind w:firstLine="480" w:firstLineChars="200"/>
        <w:rPr>
          <w:bCs/>
          <w:sz w:val="24"/>
        </w:rPr>
      </w:pPr>
      <w:r>
        <w:rPr>
          <w:bCs/>
          <w:sz w:val="24"/>
        </w:rPr>
        <w:t>2、估值错误处理原则</w:t>
      </w:r>
    </w:p>
    <w:p w14:paraId="198BF532">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4A417A">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0BEB5A5">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4B49FD">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14:paraId="166260F4">
      <w:pPr>
        <w:spacing w:line="360" w:lineRule="auto"/>
        <w:ind w:firstLine="480" w:firstLineChars="200"/>
        <w:rPr>
          <w:bCs/>
          <w:sz w:val="24"/>
        </w:rPr>
      </w:pPr>
      <w:r>
        <w:rPr>
          <w:bCs/>
          <w:sz w:val="24"/>
        </w:rPr>
        <w:t>3、估值错误处理程序</w:t>
      </w:r>
    </w:p>
    <w:p w14:paraId="572E35A6">
      <w:pPr>
        <w:spacing w:line="360" w:lineRule="auto"/>
        <w:ind w:firstLine="480" w:firstLineChars="200"/>
        <w:rPr>
          <w:bCs/>
          <w:sz w:val="24"/>
        </w:rPr>
      </w:pPr>
      <w:r>
        <w:rPr>
          <w:bCs/>
          <w:sz w:val="24"/>
        </w:rPr>
        <w:t>估值错误被发现后，有关的当事人应当及时进行处理，处理的程序如下：</w:t>
      </w:r>
    </w:p>
    <w:p w14:paraId="22CD064F">
      <w:pPr>
        <w:spacing w:line="360" w:lineRule="auto"/>
        <w:ind w:firstLine="480" w:firstLineChars="200"/>
        <w:rPr>
          <w:bCs/>
          <w:sz w:val="24"/>
        </w:rPr>
      </w:pPr>
      <w:r>
        <w:rPr>
          <w:bCs/>
          <w:sz w:val="24"/>
        </w:rPr>
        <w:t>（1）查明估值错误发生的原因，列明所有的当事人，并根据估值错误发生的原因确定估值错误的责任方；</w:t>
      </w:r>
    </w:p>
    <w:p w14:paraId="2E77D8D8">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6C6AFA2">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F4CB989">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D7694E2">
      <w:pPr>
        <w:spacing w:line="360" w:lineRule="auto"/>
        <w:ind w:firstLine="480" w:firstLineChars="200"/>
        <w:rPr>
          <w:bCs/>
          <w:sz w:val="24"/>
        </w:rPr>
      </w:pPr>
      <w:r>
        <w:rPr>
          <w:bCs/>
          <w:sz w:val="24"/>
        </w:rPr>
        <w:t>4、基金份额净值估值错误处理的方法如下：</w:t>
      </w:r>
    </w:p>
    <w:p w14:paraId="593A9351">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14:paraId="373275E0">
      <w:pPr>
        <w:spacing w:line="360" w:lineRule="auto"/>
        <w:ind w:firstLine="480" w:firstLineChars="20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基金份额净值的0.25%时，基金管理人应当通报基金托管人并报中国证监会备案；错误偏差达到</w:t>
      </w:r>
      <w:r>
        <w:rPr>
          <w:rFonts w:hint="eastAsia"/>
          <w:bCs/>
          <w:sz w:val="24"/>
        </w:rPr>
        <w:t>该类</w:t>
      </w:r>
      <w:r>
        <w:rPr>
          <w:bCs/>
          <w:sz w:val="24"/>
        </w:rPr>
        <w:t>基金份额净值的0.5%时，基金管理人应当公告。</w:t>
      </w:r>
    </w:p>
    <w:p w14:paraId="25E0D7FC">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14:paraId="3DCAAE92">
      <w:pPr>
        <w:spacing w:line="360" w:lineRule="auto"/>
        <w:ind w:firstLine="480" w:firstLineChars="200"/>
        <w:rPr>
          <w:bCs/>
          <w:sz w:val="24"/>
        </w:rPr>
      </w:pPr>
      <w:r>
        <w:rPr>
          <w:bCs/>
          <w:sz w:val="24"/>
        </w:rPr>
        <w:t>六、暂停估值的情形</w:t>
      </w:r>
    </w:p>
    <w:p w14:paraId="2397F095">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14:paraId="16F539EE">
      <w:pPr>
        <w:spacing w:line="360" w:lineRule="auto"/>
        <w:ind w:firstLine="480" w:firstLineChars="200"/>
        <w:rPr>
          <w:bCs/>
          <w:sz w:val="24"/>
        </w:rPr>
      </w:pPr>
      <w:r>
        <w:rPr>
          <w:bCs/>
          <w:sz w:val="24"/>
        </w:rPr>
        <w:t>2、因不可抗力致使基金管理人、基金托管人无法准确评估基金资产价值时；</w:t>
      </w:r>
    </w:p>
    <w:p w14:paraId="58BC22F8">
      <w:pPr>
        <w:spacing w:line="360" w:lineRule="auto"/>
        <w:ind w:firstLine="480" w:firstLineChars="200"/>
        <w:rPr>
          <w:bCs/>
          <w:sz w:val="24"/>
        </w:rPr>
      </w:pPr>
      <w:r>
        <w:rPr>
          <w:bCs/>
          <w:sz w:val="24"/>
        </w:rPr>
        <w:t>3、</w:t>
      </w:r>
      <w:r>
        <w:rPr>
          <w:rFonts w:hint="eastAsia"/>
          <w:bCs/>
          <w:sz w:val="24"/>
        </w:rPr>
        <w:t>当特定资产占前一估值日基金资产净值50%以上时，经与基金托管人协商确认后，基金管理人应当暂停基金估值；</w:t>
      </w:r>
    </w:p>
    <w:p w14:paraId="4496772F">
      <w:pPr>
        <w:spacing w:line="360" w:lineRule="auto"/>
        <w:ind w:firstLine="480" w:firstLineChars="200"/>
        <w:rPr>
          <w:bCs/>
          <w:sz w:val="24"/>
        </w:rPr>
      </w:pPr>
      <w:r>
        <w:rPr>
          <w:rFonts w:hint="eastAsia"/>
          <w:bCs/>
          <w:sz w:val="24"/>
        </w:rPr>
        <w:t>4、</w:t>
      </w:r>
      <w:r>
        <w:rPr>
          <w:bCs/>
          <w:sz w:val="24"/>
        </w:rPr>
        <w:t>中国证监会和基金合同认定的其它情形。</w:t>
      </w:r>
    </w:p>
    <w:p w14:paraId="5B671FE9">
      <w:pPr>
        <w:spacing w:line="360" w:lineRule="auto"/>
        <w:ind w:firstLine="480" w:firstLineChars="200"/>
        <w:rPr>
          <w:bCs/>
          <w:sz w:val="24"/>
        </w:rPr>
      </w:pPr>
      <w:r>
        <w:rPr>
          <w:bCs/>
          <w:sz w:val="24"/>
        </w:rPr>
        <w:t>七、基金净值的确认</w:t>
      </w:r>
    </w:p>
    <w:p w14:paraId="1E4025AF">
      <w:pPr>
        <w:spacing w:line="360" w:lineRule="auto"/>
        <w:ind w:firstLine="480" w:firstLineChars="20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基金资产净值和基金份额净值由基金管理人负责计算，基金托管人负责进行复核。基金管理人应于每个开放日交易结束后计算当日的</w:t>
      </w:r>
      <w:r>
        <w:rPr>
          <w:rFonts w:hint="eastAsia"/>
          <w:bCs/>
          <w:sz w:val="24"/>
        </w:rPr>
        <w:t>各类基金份额的</w:t>
      </w:r>
      <w:r>
        <w:rPr>
          <w:bCs/>
          <w:sz w:val="24"/>
        </w:rPr>
        <w:t>基金资产净值和基金份额净值并发送给基金托管人。基金托管人对净值计算结果复核确认后发送给基金管理人，由基金管理人对基金净值予以公布。</w:t>
      </w:r>
    </w:p>
    <w:p w14:paraId="1DF25D9A">
      <w:pPr>
        <w:spacing w:line="360" w:lineRule="auto"/>
        <w:ind w:firstLine="480" w:firstLineChars="200"/>
        <w:rPr>
          <w:bCs/>
          <w:sz w:val="24"/>
        </w:rPr>
      </w:pPr>
      <w:r>
        <w:rPr>
          <w:rFonts w:hint="eastAsia"/>
          <w:bCs/>
          <w:sz w:val="24"/>
        </w:rPr>
        <w:t>八、实施侧袋机制期间的基金资产估值</w:t>
      </w:r>
    </w:p>
    <w:p w14:paraId="75FDAB2B">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本基金实施侧袋机制的，应根据本部分的约定对主袋账户资产进行估值并披露主袋账户的基金净值信息，暂停披露侧袋账户份额净值。</w:t>
      </w:r>
    </w:p>
    <w:p w14:paraId="1F9C82BD">
      <w:pPr>
        <w:spacing w:line="360" w:lineRule="auto"/>
        <w:ind w:firstLine="480" w:firstLineChars="200"/>
        <w:rPr>
          <w:bCs/>
          <w:sz w:val="24"/>
        </w:rPr>
      </w:pPr>
      <w:r>
        <w:rPr>
          <w:rFonts w:hint="eastAsia"/>
          <w:bCs/>
          <w:sz w:val="24"/>
        </w:rPr>
        <w:t>九、特殊情况的处理</w:t>
      </w:r>
    </w:p>
    <w:p w14:paraId="525058B6">
      <w:pPr>
        <w:spacing w:line="360" w:lineRule="auto"/>
        <w:ind w:firstLine="480" w:firstLineChars="200"/>
        <w:rPr>
          <w:bCs/>
          <w:sz w:val="24"/>
        </w:rPr>
      </w:pPr>
      <w:r>
        <w:rPr>
          <w:rFonts w:hint="eastAsia"/>
          <w:bCs/>
          <w:sz w:val="24"/>
        </w:rPr>
        <w:t>1、基金管理人或基金托管人按估值方法的第7项进行估值时，所造成的误差不作为基金资产估值错误处理。</w:t>
      </w:r>
    </w:p>
    <w:p w14:paraId="6F6825F7">
      <w:pPr>
        <w:spacing w:line="360" w:lineRule="auto"/>
        <w:ind w:firstLine="480" w:firstLineChars="200"/>
        <w:rPr>
          <w:bCs/>
          <w:sz w:val="24"/>
        </w:rPr>
      </w:pPr>
      <w:r>
        <w:rPr>
          <w:rFonts w:hint="eastAsia"/>
          <w:bCs/>
          <w:sz w:val="24"/>
        </w:rPr>
        <w:t>2、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9856B7F">
      <w:pPr>
        <w:pStyle w:val="2"/>
        <w:spacing w:before="0" w:after="0"/>
        <w:jc w:val="center"/>
        <w:rPr>
          <w:rFonts w:ascii="Times New Roman"/>
          <w:color w:val="auto"/>
          <w:sz w:val="30"/>
        </w:rPr>
      </w:pPr>
      <w:r>
        <w:rPr>
          <w:rFonts w:ascii="Times New Roman"/>
          <w:b w:val="0"/>
          <w:bCs/>
          <w:color w:val="auto"/>
          <w:sz w:val="30"/>
        </w:rPr>
        <w:br w:type="page"/>
      </w:r>
      <w:bookmarkStart w:id="320" w:name="_Toc19752"/>
      <w:bookmarkStart w:id="321" w:name="_Toc19706"/>
      <w:bookmarkStart w:id="322" w:name="_Toc24601"/>
      <w:bookmarkStart w:id="323" w:name="_Toc3365"/>
      <w:bookmarkStart w:id="324" w:name="_Toc32227"/>
      <w:bookmarkStart w:id="325" w:name="_Toc12105"/>
      <w:bookmarkStart w:id="326" w:name="_Toc6493"/>
      <w:bookmarkStart w:id="327" w:name="_Toc13987"/>
      <w:bookmarkStart w:id="328" w:name="_Toc15779"/>
      <w:bookmarkStart w:id="329" w:name="_Toc32041"/>
      <w:r>
        <w:rPr>
          <w:rFonts w:ascii="Times New Roman"/>
          <w:color w:val="auto"/>
          <w:sz w:val="30"/>
        </w:rPr>
        <w:t>第十五部分  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5E7996DD">
      <w:pPr>
        <w:spacing w:line="360" w:lineRule="auto"/>
        <w:ind w:firstLine="480" w:firstLineChars="200"/>
        <w:rPr>
          <w:bCs/>
          <w:sz w:val="24"/>
        </w:rPr>
      </w:pPr>
    </w:p>
    <w:p w14:paraId="799D912C">
      <w:pPr>
        <w:spacing w:line="360" w:lineRule="auto"/>
        <w:ind w:firstLine="480" w:firstLineChars="200"/>
        <w:rPr>
          <w:bCs/>
          <w:sz w:val="24"/>
        </w:rPr>
      </w:pPr>
      <w:r>
        <w:rPr>
          <w:bCs/>
          <w:sz w:val="24"/>
        </w:rPr>
        <w:t>一、基金费用的种类</w:t>
      </w:r>
    </w:p>
    <w:p w14:paraId="2CD72C9D">
      <w:pPr>
        <w:spacing w:line="360" w:lineRule="auto"/>
        <w:ind w:firstLine="480" w:firstLineChars="200"/>
        <w:rPr>
          <w:bCs/>
          <w:sz w:val="24"/>
        </w:rPr>
      </w:pPr>
      <w:r>
        <w:rPr>
          <w:bCs/>
          <w:sz w:val="24"/>
        </w:rPr>
        <w:t>1、基金管理人的管理费；</w:t>
      </w:r>
    </w:p>
    <w:p w14:paraId="55D73E9A">
      <w:pPr>
        <w:spacing w:line="360" w:lineRule="auto"/>
        <w:ind w:firstLine="480" w:firstLineChars="200"/>
        <w:rPr>
          <w:bCs/>
          <w:sz w:val="24"/>
        </w:rPr>
      </w:pPr>
      <w:r>
        <w:rPr>
          <w:bCs/>
          <w:sz w:val="24"/>
        </w:rPr>
        <w:t>2、基金托管人的托管费；</w:t>
      </w:r>
    </w:p>
    <w:p w14:paraId="3D89834C">
      <w:pPr>
        <w:spacing w:line="360" w:lineRule="auto"/>
        <w:ind w:firstLine="480" w:firstLineChars="200"/>
        <w:rPr>
          <w:bCs/>
          <w:sz w:val="24"/>
        </w:rPr>
      </w:pPr>
      <w:r>
        <w:rPr>
          <w:rFonts w:hint="eastAsia"/>
          <w:bCs/>
          <w:sz w:val="24"/>
        </w:rPr>
        <w:t>3、基金的销售服务费；</w:t>
      </w:r>
    </w:p>
    <w:p w14:paraId="5F7EBCEB">
      <w:pPr>
        <w:spacing w:line="360" w:lineRule="auto"/>
        <w:ind w:firstLine="480" w:firstLineChars="200"/>
        <w:rPr>
          <w:bCs/>
          <w:sz w:val="24"/>
        </w:rPr>
      </w:pPr>
      <w:r>
        <w:rPr>
          <w:rFonts w:hint="eastAsia"/>
          <w:bCs/>
          <w:sz w:val="24"/>
        </w:rPr>
        <w:t>4</w:t>
      </w:r>
      <w:r>
        <w:rPr>
          <w:bCs/>
          <w:sz w:val="24"/>
        </w:rPr>
        <w:t>、《基金合同》生效后与基金相关的信息披露费用</w:t>
      </w:r>
      <w:r>
        <w:rPr>
          <w:rFonts w:hint="eastAsia"/>
          <w:bCs/>
          <w:sz w:val="24"/>
        </w:rPr>
        <w:t>，但法律法规或中国证监会另有规定的除外</w:t>
      </w:r>
      <w:r>
        <w:rPr>
          <w:bCs/>
          <w:sz w:val="24"/>
        </w:rPr>
        <w:t>；</w:t>
      </w:r>
    </w:p>
    <w:p w14:paraId="1C227A0F">
      <w:pPr>
        <w:spacing w:line="360" w:lineRule="auto"/>
        <w:ind w:firstLine="480" w:firstLineChars="20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71B1607F">
      <w:pPr>
        <w:spacing w:line="360" w:lineRule="auto"/>
        <w:ind w:firstLine="480" w:firstLineChars="200"/>
        <w:rPr>
          <w:bCs/>
          <w:sz w:val="24"/>
        </w:rPr>
      </w:pPr>
      <w:r>
        <w:rPr>
          <w:rFonts w:hint="eastAsia"/>
          <w:bCs/>
          <w:sz w:val="24"/>
        </w:rPr>
        <w:t>6</w:t>
      </w:r>
      <w:r>
        <w:rPr>
          <w:bCs/>
          <w:sz w:val="24"/>
        </w:rPr>
        <w:t>、基金份额持有人大会费用；</w:t>
      </w:r>
    </w:p>
    <w:p w14:paraId="3CCFDA2E">
      <w:pPr>
        <w:spacing w:line="360" w:lineRule="auto"/>
        <w:ind w:firstLine="480" w:firstLineChars="200"/>
        <w:rPr>
          <w:bCs/>
          <w:sz w:val="24"/>
        </w:rPr>
      </w:pPr>
      <w:r>
        <w:rPr>
          <w:rFonts w:hint="eastAsia"/>
          <w:bCs/>
          <w:sz w:val="24"/>
        </w:rPr>
        <w:t>7</w:t>
      </w:r>
      <w:r>
        <w:rPr>
          <w:bCs/>
          <w:sz w:val="24"/>
        </w:rPr>
        <w:t>、基金的证券</w:t>
      </w:r>
      <w:r>
        <w:rPr>
          <w:rFonts w:hint="eastAsia"/>
          <w:bCs/>
          <w:sz w:val="24"/>
        </w:rPr>
        <w:t>、期货</w:t>
      </w:r>
      <w:r>
        <w:rPr>
          <w:bCs/>
          <w:sz w:val="24"/>
        </w:rPr>
        <w:t>交易费用；</w:t>
      </w:r>
    </w:p>
    <w:p w14:paraId="0CF1DBE0">
      <w:pPr>
        <w:spacing w:line="360" w:lineRule="auto"/>
        <w:ind w:firstLine="480" w:firstLineChars="200"/>
        <w:rPr>
          <w:bCs/>
          <w:sz w:val="24"/>
        </w:rPr>
      </w:pPr>
      <w:r>
        <w:rPr>
          <w:rFonts w:hint="eastAsia"/>
          <w:bCs/>
          <w:sz w:val="24"/>
        </w:rPr>
        <w:t>8</w:t>
      </w:r>
      <w:r>
        <w:rPr>
          <w:bCs/>
          <w:sz w:val="24"/>
        </w:rPr>
        <w:t>、基金的银行汇划费用；</w:t>
      </w:r>
    </w:p>
    <w:p w14:paraId="358CC697">
      <w:pPr>
        <w:spacing w:line="360" w:lineRule="auto"/>
        <w:ind w:firstLine="480" w:firstLineChars="200"/>
        <w:rPr>
          <w:bCs/>
          <w:sz w:val="24"/>
        </w:rPr>
      </w:pPr>
      <w:r>
        <w:rPr>
          <w:rFonts w:hint="eastAsia"/>
          <w:bCs/>
          <w:sz w:val="24"/>
        </w:rPr>
        <w:t>9</w:t>
      </w:r>
      <w:r>
        <w:rPr>
          <w:bCs/>
          <w:sz w:val="24"/>
        </w:rPr>
        <w:t>、</w:t>
      </w:r>
      <w:r>
        <w:rPr>
          <w:rFonts w:hint="eastAsia"/>
          <w:bCs/>
          <w:sz w:val="24"/>
        </w:rPr>
        <w:t>基金的开户费用、账户维护费用</w:t>
      </w:r>
    </w:p>
    <w:p w14:paraId="74AB5AC1">
      <w:pPr>
        <w:spacing w:line="360" w:lineRule="auto"/>
        <w:ind w:firstLine="480" w:firstLineChars="200"/>
        <w:rPr>
          <w:bCs/>
          <w:sz w:val="24"/>
        </w:rPr>
      </w:pPr>
      <w:r>
        <w:rPr>
          <w:rFonts w:hint="eastAsia"/>
          <w:bCs/>
          <w:sz w:val="24"/>
        </w:rPr>
        <w:t>10</w:t>
      </w:r>
      <w:r>
        <w:rPr>
          <w:bCs/>
          <w:sz w:val="24"/>
        </w:rPr>
        <w:t>、按照国家有关规定和《基金合同》约定，可以在基金财产中列支的其他费用。</w:t>
      </w:r>
    </w:p>
    <w:p w14:paraId="6CC59E63">
      <w:pPr>
        <w:spacing w:line="360" w:lineRule="auto"/>
        <w:ind w:firstLine="480" w:firstLineChars="200"/>
        <w:rPr>
          <w:bCs/>
          <w:sz w:val="24"/>
        </w:rPr>
      </w:pPr>
      <w:r>
        <w:rPr>
          <w:bCs/>
          <w:sz w:val="24"/>
        </w:rPr>
        <w:t>二、基金费用计提方法、计提标准和支付方式</w:t>
      </w:r>
    </w:p>
    <w:p w14:paraId="745A3AF7">
      <w:pPr>
        <w:spacing w:line="360" w:lineRule="auto"/>
        <w:ind w:firstLine="480" w:firstLineChars="200"/>
        <w:rPr>
          <w:bCs/>
          <w:sz w:val="24"/>
        </w:rPr>
      </w:pPr>
      <w:r>
        <w:rPr>
          <w:bCs/>
          <w:sz w:val="24"/>
        </w:rPr>
        <w:t xml:space="preserve">1、基金管理人的管理费 </w:t>
      </w:r>
    </w:p>
    <w:p w14:paraId="44951170">
      <w:pPr>
        <w:spacing w:line="360" w:lineRule="auto"/>
        <w:ind w:firstLine="480" w:firstLineChars="200"/>
        <w:rPr>
          <w:bCs/>
          <w:sz w:val="24"/>
        </w:rPr>
      </w:pPr>
      <w:r>
        <w:rPr>
          <w:bCs/>
          <w:sz w:val="24"/>
        </w:rPr>
        <w:t>本基金的管理费按前一日基金资产净值的</w:t>
      </w:r>
      <w:r>
        <w:rPr>
          <w:rFonts w:hint="eastAsia" w:ascii="宋体" w:hAnsi="宋体"/>
          <w:sz w:val="24"/>
        </w:rPr>
        <w:t>0.6</w:t>
      </w:r>
      <w:r>
        <w:rPr>
          <w:bCs/>
          <w:sz w:val="24"/>
        </w:rPr>
        <w:t>%年费率计提。管理费的计算方法如下：</w:t>
      </w:r>
    </w:p>
    <w:p w14:paraId="25CACB55">
      <w:pPr>
        <w:spacing w:line="360" w:lineRule="auto"/>
        <w:ind w:firstLine="480" w:firstLineChars="200"/>
        <w:rPr>
          <w:bCs/>
          <w:sz w:val="24"/>
        </w:rPr>
      </w:pPr>
      <w:r>
        <w:rPr>
          <w:bCs/>
          <w:sz w:val="24"/>
        </w:rPr>
        <w:t>H＝E×</w:t>
      </w:r>
      <w:r>
        <w:rPr>
          <w:rFonts w:hint="eastAsia" w:ascii="宋体" w:hAnsi="宋体"/>
          <w:sz w:val="24"/>
        </w:rPr>
        <w:t>0.6</w:t>
      </w:r>
      <w:r>
        <w:rPr>
          <w:bCs/>
          <w:sz w:val="24"/>
        </w:rPr>
        <w:t>%÷当年天数</w:t>
      </w:r>
    </w:p>
    <w:p w14:paraId="6FE746F4">
      <w:pPr>
        <w:spacing w:line="360" w:lineRule="auto"/>
        <w:ind w:firstLine="480" w:firstLineChars="200"/>
        <w:rPr>
          <w:bCs/>
          <w:sz w:val="24"/>
        </w:rPr>
      </w:pPr>
      <w:r>
        <w:rPr>
          <w:bCs/>
          <w:sz w:val="24"/>
        </w:rPr>
        <w:t>H为每日应计提的基金管理费</w:t>
      </w:r>
    </w:p>
    <w:p w14:paraId="1699FEFF">
      <w:pPr>
        <w:spacing w:line="360" w:lineRule="auto"/>
        <w:ind w:firstLine="480" w:firstLineChars="200"/>
        <w:rPr>
          <w:bCs/>
          <w:sz w:val="24"/>
        </w:rPr>
      </w:pPr>
      <w:r>
        <w:rPr>
          <w:bCs/>
          <w:sz w:val="24"/>
        </w:rPr>
        <w:t>E为前一日的基金资产净值</w:t>
      </w:r>
    </w:p>
    <w:p w14:paraId="2CD835F5">
      <w:pPr>
        <w:spacing w:line="360" w:lineRule="auto"/>
        <w:ind w:firstLine="480" w:firstLineChars="200"/>
        <w:rPr>
          <w:bCs/>
          <w:sz w:val="24"/>
          <w:shd w:val="pct10" w:color="auto" w:fill="FFFFFF"/>
        </w:rPr>
      </w:pPr>
      <w:r>
        <w:rPr>
          <w:rFonts w:hint="eastAsia"/>
          <w:bCs/>
          <w:sz w:val="24"/>
        </w:rPr>
        <w:t>基金管理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7D9AD01E">
      <w:pPr>
        <w:spacing w:line="360" w:lineRule="auto"/>
        <w:ind w:firstLine="480" w:firstLineChars="200"/>
        <w:rPr>
          <w:bCs/>
          <w:sz w:val="24"/>
        </w:rPr>
      </w:pPr>
      <w:r>
        <w:rPr>
          <w:bCs/>
          <w:sz w:val="24"/>
        </w:rPr>
        <w:t>2、基金托管人的托管费</w:t>
      </w:r>
    </w:p>
    <w:p w14:paraId="372F001E">
      <w:pPr>
        <w:spacing w:line="360" w:lineRule="auto"/>
        <w:ind w:firstLine="480" w:firstLineChars="200"/>
        <w:rPr>
          <w:bCs/>
          <w:sz w:val="24"/>
        </w:rPr>
      </w:pPr>
      <w:r>
        <w:rPr>
          <w:bCs/>
          <w:sz w:val="24"/>
        </w:rPr>
        <w:t>本基金的托管费按前一日基金资产净值的</w:t>
      </w:r>
      <w:r>
        <w:rPr>
          <w:rFonts w:hint="eastAsia" w:ascii="宋体" w:hAnsi="宋体"/>
          <w:sz w:val="24"/>
        </w:rPr>
        <w:t>0.2</w:t>
      </w:r>
      <w:r>
        <w:rPr>
          <w:rFonts w:hint="eastAsia" w:ascii="宋体" w:hAnsi="宋体"/>
          <w:sz w:val="24"/>
          <w:lang w:val="en-US" w:eastAsia="zh-CN"/>
        </w:rPr>
        <w:t>0</w:t>
      </w:r>
      <w:r>
        <w:rPr>
          <w:bCs/>
          <w:sz w:val="24"/>
        </w:rPr>
        <w:t>%的年费率计提。托管费的计算方法如下：</w:t>
      </w:r>
    </w:p>
    <w:p w14:paraId="2124440F">
      <w:pPr>
        <w:spacing w:line="360" w:lineRule="auto"/>
        <w:ind w:firstLine="480" w:firstLineChars="200"/>
        <w:rPr>
          <w:bCs/>
          <w:sz w:val="24"/>
        </w:rPr>
      </w:pPr>
      <w:r>
        <w:rPr>
          <w:bCs/>
          <w:sz w:val="24"/>
        </w:rPr>
        <w:t>H＝E×</w:t>
      </w:r>
      <w:r>
        <w:rPr>
          <w:rFonts w:hint="eastAsia" w:ascii="宋体" w:hAnsi="宋体"/>
          <w:sz w:val="24"/>
        </w:rPr>
        <w:t>0.2</w:t>
      </w:r>
      <w:r>
        <w:rPr>
          <w:rFonts w:hint="eastAsia" w:ascii="宋体" w:hAnsi="宋体"/>
          <w:sz w:val="24"/>
          <w:lang w:val="en-US" w:eastAsia="zh-CN"/>
        </w:rPr>
        <w:t>0</w:t>
      </w:r>
      <w:r>
        <w:rPr>
          <w:bCs/>
          <w:sz w:val="24"/>
        </w:rPr>
        <w:t>%÷当年天数</w:t>
      </w:r>
    </w:p>
    <w:p w14:paraId="0753C008">
      <w:pPr>
        <w:spacing w:line="360" w:lineRule="auto"/>
        <w:ind w:firstLine="480" w:firstLineChars="200"/>
        <w:rPr>
          <w:bCs/>
          <w:sz w:val="24"/>
        </w:rPr>
      </w:pPr>
      <w:r>
        <w:rPr>
          <w:bCs/>
          <w:sz w:val="24"/>
        </w:rPr>
        <w:t>H为每日应计提的基金托管费</w:t>
      </w:r>
    </w:p>
    <w:p w14:paraId="32FA9872">
      <w:pPr>
        <w:spacing w:line="360" w:lineRule="auto"/>
        <w:ind w:firstLine="480" w:firstLineChars="200"/>
        <w:rPr>
          <w:bCs/>
          <w:sz w:val="24"/>
        </w:rPr>
      </w:pPr>
      <w:r>
        <w:rPr>
          <w:bCs/>
          <w:sz w:val="24"/>
        </w:rPr>
        <w:t>E为前一日的基金资产净值</w:t>
      </w:r>
    </w:p>
    <w:p w14:paraId="52B72754">
      <w:pPr>
        <w:spacing w:line="360" w:lineRule="auto"/>
        <w:ind w:firstLine="480" w:firstLineChars="200"/>
        <w:rPr>
          <w:bCs/>
          <w:sz w:val="24"/>
        </w:rPr>
      </w:pPr>
      <w:r>
        <w:rPr>
          <w:rFonts w:hint="eastAsia"/>
          <w:bCs/>
          <w:sz w:val="24"/>
        </w:rPr>
        <w:t>基金托管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576C9A28">
      <w:pPr>
        <w:spacing w:line="360" w:lineRule="auto"/>
        <w:ind w:firstLine="480" w:firstLineChars="200"/>
        <w:rPr>
          <w:bCs/>
          <w:sz w:val="24"/>
        </w:rPr>
      </w:pPr>
      <w:r>
        <w:rPr>
          <w:rFonts w:hint="eastAsia"/>
          <w:bCs/>
          <w:sz w:val="24"/>
        </w:rPr>
        <w:t>3、基金销售服务费</w:t>
      </w:r>
    </w:p>
    <w:p w14:paraId="7C62C5CC">
      <w:pPr>
        <w:spacing w:line="360" w:lineRule="auto"/>
        <w:ind w:firstLine="480" w:firstLineChars="200"/>
        <w:rPr>
          <w:bCs/>
          <w:sz w:val="24"/>
        </w:rPr>
      </w:pPr>
      <w:r>
        <w:rPr>
          <w:rFonts w:hint="eastAsia"/>
          <w:bCs/>
          <w:sz w:val="24"/>
        </w:rPr>
        <w:t>本基金A类基金份额不收取销售服务费，C类基金份额的销售服务费年费率为0.40%。本基金销售服务费将专门用于本基金的销售与基金份额持有人服务。基金的销售服务费按前一日C类基金份额基金资产净值的0.40%年费率计提。计算方法如下：</w:t>
      </w:r>
    </w:p>
    <w:p w14:paraId="744B1812">
      <w:pPr>
        <w:spacing w:line="360" w:lineRule="auto"/>
        <w:ind w:firstLine="480" w:firstLineChars="200"/>
        <w:rPr>
          <w:bCs/>
          <w:sz w:val="24"/>
        </w:rPr>
      </w:pPr>
      <w:r>
        <w:rPr>
          <w:rFonts w:hint="eastAsia"/>
          <w:bCs/>
          <w:sz w:val="24"/>
        </w:rPr>
        <w:t>H＝E×0.40%÷当年天数</w:t>
      </w:r>
    </w:p>
    <w:p w14:paraId="7FE75934">
      <w:pPr>
        <w:spacing w:line="360" w:lineRule="auto"/>
        <w:ind w:firstLine="480" w:firstLineChars="200"/>
        <w:rPr>
          <w:bCs/>
          <w:sz w:val="24"/>
        </w:rPr>
      </w:pPr>
      <w:r>
        <w:rPr>
          <w:rFonts w:hint="eastAsia"/>
          <w:bCs/>
          <w:sz w:val="24"/>
        </w:rPr>
        <w:t>H为C类基金份额每日应计提的销售服务费</w:t>
      </w:r>
    </w:p>
    <w:p w14:paraId="0A1B1F52">
      <w:pPr>
        <w:spacing w:line="360" w:lineRule="auto"/>
        <w:ind w:firstLine="480" w:firstLineChars="200"/>
        <w:rPr>
          <w:bCs/>
          <w:sz w:val="24"/>
        </w:rPr>
      </w:pPr>
      <w:r>
        <w:rPr>
          <w:rFonts w:hint="eastAsia"/>
          <w:bCs/>
          <w:sz w:val="24"/>
        </w:rPr>
        <w:t>E为C类基金份额前一日基金资产净值</w:t>
      </w:r>
    </w:p>
    <w:p w14:paraId="3896BE9B">
      <w:pPr>
        <w:spacing w:line="360" w:lineRule="auto"/>
        <w:ind w:firstLine="480" w:firstLineChars="200"/>
        <w:rPr>
          <w:bCs/>
          <w:sz w:val="24"/>
        </w:rPr>
      </w:pPr>
      <w:r>
        <w:rPr>
          <w:rFonts w:hint="eastAsia"/>
          <w:bCs/>
          <w:sz w:val="24"/>
        </w:rPr>
        <w:t>基金销售服务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6E38BB9F">
      <w:pPr>
        <w:spacing w:line="360" w:lineRule="auto"/>
        <w:ind w:firstLine="480" w:firstLineChars="200"/>
        <w:rPr>
          <w:bCs/>
          <w:sz w:val="24"/>
        </w:rPr>
      </w:pPr>
      <w:r>
        <w:rPr>
          <w:bCs/>
          <w:sz w:val="24"/>
        </w:rPr>
        <w:t>上述“一、基金费用的种类中第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1182C391">
      <w:pPr>
        <w:spacing w:line="360" w:lineRule="auto"/>
        <w:ind w:firstLine="480" w:firstLineChars="200"/>
        <w:rPr>
          <w:bCs/>
          <w:sz w:val="24"/>
        </w:rPr>
      </w:pPr>
      <w:r>
        <w:rPr>
          <w:bCs/>
          <w:sz w:val="24"/>
        </w:rPr>
        <w:t>三、不列入基金费用的项目</w:t>
      </w:r>
    </w:p>
    <w:p w14:paraId="60954E71">
      <w:pPr>
        <w:spacing w:line="360" w:lineRule="auto"/>
        <w:ind w:firstLine="480" w:firstLineChars="200"/>
        <w:rPr>
          <w:bCs/>
          <w:sz w:val="24"/>
        </w:rPr>
      </w:pPr>
      <w:r>
        <w:rPr>
          <w:bCs/>
          <w:sz w:val="24"/>
        </w:rPr>
        <w:t>下列费用不列入基金费用：</w:t>
      </w:r>
    </w:p>
    <w:p w14:paraId="5AEF2ACD">
      <w:pPr>
        <w:spacing w:line="360" w:lineRule="auto"/>
        <w:ind w:firstLine="480" w:firstLineChars="200"/>
        <w:rPr>
          <w:bCs/>
          <w:sz w:val="24"/>
        </w:rPr>
      </w:pPr>
      <w:r>
        <w:rPr>
          <w:bCs/>
          <w:sz w:val="24"/>
        </w:rPr>
        <w:t>1、基金管理人和基金托管人因未履行或未完全履行义务导致的费用支出或基金财产的损失；</w:t>
      </w:r>
    </w:p>
    <w:p w14:paraId="2449EDF0">
      <w:pPr>
        <w:spacing w:line="360" w:lineRule="auto"/>
        <w:ind w:firstLine="480" w:firstLineChars="200"/>
        <w:rPr>
          <w:bCs/>
          <w:sz w:val="24"/>
        </w:rPr>
      </w:pPr>
      <w:r>
        <w:rPr>
          <w:bCs/>
          <w:sz w:val="24"/>
        </w:rPr>
        <w:t>2、基金管理人和基金托管人处理与基金运作无关的事项发生的费用；</w:t>
      </w:r>
    </w:p>
    <w:p w14:paraId="4339E681">
      <w:pPr>
        <w:spacing w:line="360" w:lineRule="auto"/>
        <w:ind w:firstLine="480" w:firstLineChars="200"/>
        <w:rPr>
          <w:bCs/>
          <w:sz w:val="24"/>
        </w:rPr>
      </w:pPr>
      <w:r>
        <w:rPr>
          <w:bCs/>
          <w:sz w:val="24"/>
        </w:rPr>
        <w:t>3、《基金合同》生效前的相关费用；</w:t>
      </w:r>
    </w:p>
    <w:p w14:paraId="1F4CC64C">
      <w:pPr>
        <w:spacing w:line="360" w:lineRule="auto"/>
        <w:ind w:firstLine="480" w:firstLineChars="200"/>
        <w:rPr>
          <w:bCs/>
          <w:sz w:val="24"/>
        </w:rPr>
      </w:pPr>
      <w:r>
        <w:rPr>
          <w:bCs/>
          <w:sz w:val="24"/>
        </w:rPr>
        <w:t>4、其他根据相关法律法规及中国证监会的有关规定不得列入基金费用的项目。</w:t>
      </w:r>
      <w:bookmarkStart w:id="330" w:name="_Hlt88827255"/>
      <w:bookmarkEnd w:id="330"/>
    </w:p>
    <w:p w14:paraId="5F600682">
      <w:pPr>
        <w:spacing w:line="360" w:lineRule="auto"/>
        <w:ind w:firstLine="480" w:firstLineChars="200"/>
        <w:rPr>
          <w:bCs/>
          <w:sz w:val="24"/>
        </w:rPr>
      </w:pPr>
      <w:r>
        <w:rPr>
          <w:bCs/>
          <w:sz w:val="24"/>
        </w:rPr>
        <w:t>四、</w:t>
      </w:r>
      <w:r>
        <w:rPr>
          <w:rFonts w:hint="eastAsia"/>
          <w:bCs/>
          <w:sz w:val="24"/>
        </w:rPr>
        <w:t>实施侧袋机制期间的基金费用</w:t>
      </w:r>
    </w:p>
    <w:p w14:paraId="01E68C36">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49DA513">
      <w:pPr>
        <w:spacing w:line="360" w:lineRule="auto"/>
        <w:ind w:firstLine="480" w:firstLineChars="200"/>
        <w:rPr>
          <w:bCs/>
          <w:sz w:val="24"/>
        </w:rPr>
      </w:pPr>
      <w:r>
        <w:rPr>
          <w:rFonts w:hint="eastAsia"/>
          <w:bCs/>
          <w:sz w:val="24"/>
        </w:rPr>
        <w:t>五</w:t>
      </w:r>
      <w:r>
        <w:rPr>
          <w:bCs/>
          <w:sz w:val="24"/>
        </w:rPr>
        <w:t>、基金税收</w:t>
      </w:r>
    </w:p>
    <w:p w14:paraId="2ED278E3">
      <w:pPr>
        <w:spacing w:line="360" w:lineRule="auto"/>
        <w:ind w:firstLine="480" w:firstLineChars="200"/>
        <w:rPr>
          <w:bCs/>
          <w:sz w:val="24"/>
        </w:rPr>
      </w:pPr>
      <w:r>
        <w:rPr>
          <w:bCs/>
          <w:sz w:val="24"/>
        </w:rPr>
        <w:t>本基金运作过程中涉及的各纳税主体，其纳税义务按国家税收法律、法规执行。</w:t>
      </w:r>
    </w:p>
    <w:p w14:paraId="5B7462A9">
      <w:pPr>
        <w:spacing w:line="360" w:lineRule="auto"/>
        <w:ind w:firstLine="480" w:firstLineChars="200"/>
        <w:rPr>
          <w:bCs/>
          <w:sz w:val="24"/>
        </w:rPr>
      </w:pPr>
      <w:r>
        <w:rPr>
          <w:rFonts w:hint="eastAsia"/>
          <w:bCs/>
          <w:sz w:val="24"/>
        </w:rPr>
        <w:t>六、基金管理费、基金托管费和销售服务费的调整</w:t>
      </w:r>
    </w:p>
    <w:p w14:paraId="1AF9E5EB">
      <w:pPr>
        <w:spacing w:line="360" w:lineRule="auto"/>
        <w:ind w:firstLine="480" w:firstLineChars="200"/>
        <w:rPr>
          <w:bCs/>
          <w:sz w:val="24"/>
        </w:rPr>
      </w:pPr>
      <w:r>
        <w:rPr>
          <w:rFonts w:hint="eastAsia"/>
          <w:bCs/>
          <w:sz w:val="24"/>
        </w:rPr>
        <w:t>基金管理人和基金托管人可协商酌情降低基金管理费和基金托管费和销售服务费，此项调整不需要基金份额持有人大会决议通过。基金管理人必须最迟于新的费率实施日2日前在指定媒介上刊登公告。</w:t>
      </w:r>
    </w:p>
    <w:p w14:paraId="7FF6358B">
      <w:pPr>
        <w:pStyle w:val="2"/>
        <w:spacing w:before="0" w:after="0"/>
        <w:jc w:val="center"/>
        <w:rPr>
          <w:rFonts w:ascii="Times New Roman"/>
          <w:color w:val="auto"/>
          <w:sz w:val="30"/>
        </w:rPr>
      </w:pPr>
      <w:bookmarkStart w:id="331" w:name="_Toc92662707"/>
      <w:bookmarkStart w:id="332" w:name="_Toc93226149"/>
      <w:bookmarkStart w:id="333" w:name="_Toc139991746"/>
      <w:bookmarkStart w:id="334" w:name="_Toc128310499"/>
      <w:bookmarkStart w:id="335" w:name="_Toc141703896"/>
      <w:bookmarkStart w:id="336" w:name="_Toc22552"/>
      <w:r>
        <w:rPr>
          <w:bCs/>
          <w:sz w:val="30"/>
        </w:rPr>
        <w:br w:type="page"/>
      </w:r>
      <w:bookmarkStart w:id="337" w:name="_Toc15351"/>
      <w:bookmarkStart w:id="338" w:name="_Toc20052"/>
      <w:bookmarkStart w:id="339" w:name="_Toc25883"/>
      <w:bookmarkStart w:id="340" w:name="_Toc15525"/>
      <w:bookmarkStart w:id="341" w:name="_Toc12761"/>
      <w:bookmarkStart w:id="342" w:name="_Toc21829"/>
      <w:bookmarkStart w:id="343" w:name="_Toc19558"/>
      <w:bookmarkStart w:id="344" w:name="_Toc1617"/>
      <w:bookmarkStart w:id="345" w:name="_Toc178"/>
      <w:bookmarkStart w:id="346" w:name="_Toc3656"/>
      <w:r>
        <w:rPr>
          <w:rFonts w:ascii="Times New Roman"/>
          <w:color w:val="auto"/>
          <w:sz w:val="30"/>
        </w:rPr>
        <w:t>第十六部分  基金</w:t>
      </w:r>
      <w:bookmarkEnd w:id="331"/>
      <w:bookmarkEnd w:id="332"/>
      <w:r>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23711926">
      <w:pPr>
        <w:rPr>
          <w:bCs/>
        </w:rPr>
      </w:pPr>
    </w:p>
    <w:p w14:paraId="44DE7FD3">
      <w:pPr>
        <w:spacing w:line="360" w:lineRule="auto"/>
        <w:ind w:firstLine="540" w:firstLineChars="225"/>
        <w:rPr>
          <w:bCs/>
          <w:sz w:val="24"/>
        </w:rPr>
      </w:pPr>
      <w:r>
        <w:rPr>
          <w:bCs/>
          <w:sz w:val="24"/>
        </w:rPr>
        <w:t>一、基金利润的构成</w:t>
      </w:r>
    </w:p>
    <w:p w14:paraId="26DAA443">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14:paraId="2CDC5351">
      <w:pPr>
        <w:spacing w:line="360" w:lineRule="auto"/>
        <w:ind w:firstLine="540" w:firstLineChars="225"/>
        <w:rPr>
          <w:bCs/>
          <w:sz w:val="24"/>
        </w:rPr>
      </w:pPr>
      <w:r>
        <w:rPr>
          <w:bCs/>
          <w:sz w:val="24"/>
        </w:rPr>
        <w:t>二、基金可供分配利润</w:t>
      </w:r>
    </w:p>
    <w:p w14:paraId="1B750E03">
      <w:pPr>
        <w:spacing w:line="360" w:lineRule="auto"/>
        <w:ind w:firstLine="540" w:firstLineChars="225"/>
        <w:rPr>
          <w:bCs/>
          <w:sz w:val="24"/>
        </w:rPr>
      </w:pPr>
      <w:r>
        <w:rPr>
          <w:bCs/>
          <w:sz w:val="24"/>
        </w:rPr>
        <w:t>基金可供分配利润指截至收益分配基准日基金未分配利润与未分配利润中已实现收益的孰低数。</w:t>
      </w:r>
    </w:p>
    <w:p w14:paraId="74A75CC8">
      <w:pPr>
        <w:spacing w:line="360" w:lineRule="auto"/>
        <w:ind w:firstLine="540" w:firstLineChars="225"/>
        <w:rPr>
          <w:bCs/>
          <w:sz w:val="24"/>
        </w:rPr>
      </w:pPr>
      <w:r>
        <w:rPr>
          <w:bCs/>
          <w:sz w:val="24"/>
        </w:rPr>
        <w:t>三、基金收益分配原则</w:t>
      </w:r>
    </w:p>
    <w:p w14:paraId="539F60BD">
      <w:pPr>
        <w:spacing w:line="360" w:lineRule="auto"/>
        <w:ind w:firstLine="540" w:firstLineChars="225"/>
        <w:rPr>
          <w:bCs/>
          <w:sz w:val="24"/>
        </w:rPr>
      </w:pPr>
      <w:r>
        <w:rPr>
          <w:bCs/>
          <w:sz w:val="24"/>
        </w:rPr>
        <w:t>1、在符合有关基金分红条件的前提下，本基金每年收益分配次数最多为</w:t>
      </w:r>
      <w:r>
        <w:rPr>
          <w:rFonts w:hint="eastAsia"/>
          <w:bCs/>
          <w:sz w:val="24"/>
        </w:rPr>
        <w:t>4</w:t>
      </w:r>
      <w:r>
        <w:rPr>
          <w:bCs/>
          <w:sz w:val="24"/>
        </w:rPr>
        <w:t>次，若《基金合同》生效不满3个月可不进行收益分配；</w:t>
      </w:r>
    </w:p>
    <w:p w14:paraId="244F04B5">
      <w:pPr>
        <w:spacing w:line="360" w:lineRule="auto"/>
        <w:ind w:firstLine="600" w:firstLineChars="250"/>
        <w:rPr>
          <w:bCs/>
          <w:sz w:val="24"/>
        </w:rPr>
      </w:pPr>
      <w:r>
        <w:rPr>
          <w:bCs/>
          <w:sz w:val="24"/>
        </w:rPr>
        <w:t>2、本基金收益分配方式分两种：现金分红与红利再投资，投资者可选择现金红利或将现金红利自动转为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 xml:space="preserve"> </w:t>
      </w:r>
    </w:p>
    <w:p w14:paraId="067469A0">
      <w:pPr>
        <w:spacing w:line="360" w:lineRule="auto"/>
        <w:ind w:firstLine="540" w:firstLineChars="225"/>
        <w:rPr>
          <w:bCs/>
          <w:sz w:val="24"/>
        </w:rPr>
      </w:pPr>
      <w:r>
        <w:rPr>
          <w:bCs/>
          <w:sz w:val="24"/>
        </w:rPr>
        <w:t>3、基金收益分配后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14:paraId="3B04D8BF">
      <w:pPr>
        <w:spacing w:line="360" w:lineRule="auto"/>
        <w:ind w:firstLine="540" w:firstLineChars="225"/>
        <w:rPr>
          <w:bCs/>
          <w:sz w:val="24"/>
        </w:rPr>
      </w:pPr>
      <w:r>
        <w:rPr>
          <w:rFonts w:hint="eastAsia"/>
          <w:bCs/>
          <w:sz w:val="24"/>
        </w:rPr>
        <w:t>4、由于本基金A类基金份额不收取销售服务费，而C类基金份额收取销售服务费，各类别基金份额对应的可供分配利润将有所不同。本基金同一类别的每一基金份额享有同等分配权；</w:t>
      </w:r>
    </w:p>
    <w:p w14:paraId="318D84D3">
      <w:pPr>
        <w:spacing w:line="360" w:lineRule="auto"/>
        <w:ind w:firstLine="540" w:firstLineChars="225"/>
        <w:rPr>
          <w:bCs/>
          <w:sz w:val="24"/>
        </w:rPr>
      </w:pPr>
      <w:r>
        <w:rPr>
          <w:bCs/>
          <w:sz w:val="24"/>
        </w:rPr>
        <w:t>5、法律法规或监管机关另有规定的，从其规定。</w:t>
      </w:r>
    </w:p>
    <w:p w14:paraId="1D2D593D">
      <w:pPr>
        <w:spacing w:line="360" w:lineRule="auto"/>
        <w:ind w:firstLine="540" w:firstLineChars="225"/>
        <w:rPr>
          <w:bCs/>
          <w:sz w:val="24"/>
        </w:rPr>
      </w:pPr>
      <w:r>
        <w:rPr>
          <w:bCs/>
          <w:sz w:val="24"/>
        </w:rPr>
        <w:t>四、收益分配方案</w:t>
      </w:r>
    </w:p>
    <w:p w14:paraId="6FC530AE">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14:paraId="7AE973E6">
      <w:pPr>
        <w:spacing w:line="360" w:lineRule="auto"/>
        <w:ind w:firstLine="540" w:firstLineChars="225"/>
        <w:rPr>
          <w:bCs/>
          <w:sz w:val="24"/>
        </w:rPr>
      </w:pPr>
      <w:r>
        <w:rPr>
          <w:bCs/>
          <w:sz w:val="24"/>
        </w:rPr>
        <w:t>五、收益分配方案的确定、公告与实施</w:t>
      </w:r>
    </w:p>
    <w:p w14:paraId="691045F3">
      <w:pPr>
        <w:spacing w:line="360" w:lineRule="auto"/>
        <w:ind w:firstLine="540" w:firstLineChars="225"/>
        <w:rPr>
          <w:bCs/>
          <w:sz w:val="24"/>
        </w:rPr>
      </w:pPr>
      <w:r>
        <w:rPr>
          <w:bCs/>
          <w:sz w:val="24"/>
        </w:rPr>
        <w:t>本基金收益分配方案由基金管理人拟定，并由基金托管人复核</w:t>
      </w:r>
      <w:r>
        <w:rPr>
          <w:rFonts w:hint="eastAsia"/>
          <w:bCs/>
          <w:sz w:val="24"/>
        </w:rPr>
        <w:t>，按规定</w:t>
      </w:r>
      <w:r>
        <w:rPr>
          <w:bCs/>
          <w:sz w:val="24"/>
        </w:rPr>
        <w:t>在指定媒介公告。</w:t>
      </w:r>
    </w:p>
    <w:p w14:paraId="30585DCF">
      <w:pPr>
        <w:spacing w:line="360" w:lineRule="auto"/>
        <w:ind w:firstLine="540" w:firstLineChars="225"/>
        <w:rPr>
          <w:bCs/>
          <w:sz w:val="24"/>
        </w:rPr>
      </w:pPr>
      <w:r>
        <w:rPr>
          <w:bCs/>
          <w:sz w:val="24"/>
        </w:rPr>
        <w:t>基金红利发放日距离收益分配基准日（即可供分配利润计算截止日）的时间不得超过15个工作日。</w:t>
      </w:r>
    </w:p>
    <w:p w14:paraId="4913A291">
      <w:pPr>
        <w:spacing w:line="360" w:lineRule="auto"/>
        <w:ind w:firstLine="540" w:firstLineChars="225"/>
        <w:rPr>
          <w:bCs/>
          <w:sz w:val="24"/>
        </w:rPr>
      </w:pPr>
      <w:r>
        <w:rPr>
          <w:bCs/>
          <w:sz w:val="24"/>
        </w:rPr>
        <w:t>六、基金收益分配中发生的费用</w:t>
      </w:r>
    </w:p>
    <w:p w14:paraId="115082C0">
      <w:pPr>
        <w:spacing w:line="360" w:lineRule="auto"/>
        <w:ind w:firstLine="540" w:firstLineChars="225"/>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58B4ACB5">
      <w:pPr>
        <w:spacing w:line="360" w:lineRule="auto"/>
        <w:ind w:firstLine="540" w:firstLineChars="225"/>
        <w:rPr>
          <w:bCs/>
          <w:sz w:val="24"/>
        </w:rPr>
      </w:pPr>
      <w:r>
        <w:rPr>
          <w:rFonts w:hint="eastAsia"/>
          <w:bCs/>
          <w:sz w:val="24"/>
        </w:rPr>
        <w:t>七、实施侧袋机制期间的收益分配</w:t>
      </w:r>
    </w:p>
    <w:p w14:paraId="265274FF">
      <w:pPr>
        <w:spacing w:line="360" w:lineRule="auto"/>
        <w:ind w:firstLine="540" w:firstLineChars="225"/>
        <w:rPr>
          <w:bCs/>
          <w:sz w:val="24"/>
        </w:rPr>
      </w:pPr>
      <w:r>
        <w:rPr>
          <w:rFonts w:hint="eastAsia"/>
          <w:bCs/>
          <w:sz w:val="24"/>
        </w:rPr>
        <w:t>本基金实施侧袋机制的，侧袋账户不进行收益分配，详见招募说明书的规定。</w:t>
      </w:r>
    </w:p>
    <w:p w14:paraId="445F1AED">
      <w:pPr>
        <w:spacing w:line="360" w:lineRule="auto"/>
        <w:ind w:firstLine="540" w:firstLineChars="225"/>
        <w:rPr>
          <w:bCs/>
          <w:sz w:val="24"/>
        </w:rPr>
      </w:pPr>
    </w:p>
    <w:p w14:paraId="0F98CA18">
      <w:pPr>
        <w:pStyle w:val="2"/>
        <w:spacing w:before="0" w:after="0"/>
        <w:jc w:val="center"/>
        <w:rPr>
          <w:rFonts w:ascii="Times New Roman"/>
          <w:color w:val="auto"/>
          <w:sz w:val="30"/>
        </w:rPr>
      </w:pPr>
      <w:r>
        <w:rPr>
          <w:rFonts w:ascii="Times New Roman"/>
          <w:b w:val="0"/>
          <w:bCs/>
          <w:color w:val="auto"/>
          <w:kern w:val="44"/>
          <w:sz w:val="21"/>
        </w:rPr>
        <w:br w:type="page"/>
      </w:r>
      <w:bookmarkStart w:id="347" w:name="_Toc93226150"/>
      <w:bookmarkStart w:id="348" w:name="_Toc92662708"/>
      <w:bookmarkStart w:id="349" w:name="_Toc31736"/>
      <w:bookmarkStart w:id="350" w:name="_Toc18747"/>
      <w:bookmarkStart w:id="351" w:name="_Toc128310500"/>
      <w:bookmarkStart w:id="352" w:name="_Toc141703897"/>
      <w:bookmarkStart w:id="353" w:name="_Toc139991747"/>
      <w:bookmarkStart w:id="354" w:name="_Toc23859"/>
      <w:bookmarkStart w:id="355" w:name="_Toc21206"/>
      <w:bookmarkStart w:id="356" w:name="_Toc18007"/>
      <w:bookmarkStart w:id="357" w:name="_Toc29695"/>
      <w:bookmarkStart w:id="358" w:name="_Toc13255"/>
      <w:bookmarkStart w:id="359" w:name="_Toc17499"/>
      <w:bookmarkStart w:id="360" w:name="_Toc28961"/>
      <w:bookmarkStart w:id="361" w:name="_Toc10894"/>
      <w:bookmarkStart w:id="362" w:name="_Toc1043"/>
      <w:r>
        <w:rPr>
          <w:rFonts w:ascii="Times New Roman"/>
          <w:color w:val="auto"/>
          <w:sz w:val="30"/>
        </w:rPr>
        <w:t>第十七部分  基金</w:t>
      </w:r>
      <w:bookmarkEnd w:id="347"/>
      <w:bookmarkEnd w:id="348"/>
      <w:r>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38DC5F2">
      <w:pPr>
        <w:spacing w:line="360" w:lineRule="auto"/>
        <w:ind w:firstLine="480" w:firstLineChars="200"/>
        <w:rPr>
          <w:bCs/>
          <w:sz w:val="24"/>
        </w:rPr>
      </w:pPr>
    </w:p>
    <w:p w14:paraId="20EFBCD8">
      <w:pPr>
        <w:spacing w:line="360" w:lineRule="auto"/>
        <w:ind w:firstLine="480" w:firstLineChars="200"/>
        <w:rPr>
          <w:bCs/>
          <w:sz w:val="24"/>
        </w:rPr>
      </w:pPr>
      <w:r>
        <w:rPr>
          <w:bCs/>
          <w:sz w:val="24"/>
        </w:rPr>
        <w:t>一、基金会计政策</w:t>
      </w:r>
    </w:p>
    <w:p w14:paraId="282C5B8C">
      <w:pPr>
        <w:spacing w:line="360" w:lineRule="auto"/>
        <w:ind w:firstLine="480" w:firstLineChars="200"/>
        <w:rPr>
          <w:bCs/>
          <w:sz w:val="24"/>
        </w:rPr>
      </w:pPr>
      <w:r>
        <w:rPr>
          <w:bCs/>
          <w:sz w:val="24"/>
        </w:rPr>
        <w:t>1、基金管理人为本基金的基金会计责任方；</w:t>
      </w:r>
    </w:p>
    <w:p w14:paraId="48C0E2B9">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p>
    <w:p w14:paraId="2AC6BD62">
      <w:pPr>
        <w:spacing w:line="360" w:lineRule="auto"/>
        <w:ind w:firstLine="480" w:firstLineChars="200"/>
        <w:rPr>
          <w:bCs/>
          <w:sz w:val="24"/>
        </w:rPr>
      </w:pPr>
      <w:r>
        <w:rPr>
          <w:bCs/>
          <w:sz w:val="24"/>
        </w:rPr>
        <w:t>3、基金核算以人民币为记账本位币，以人民币元为记账单位；</w:t>
      </w:r>
    </w:p>
    <w:p w14:paraId="255C1AD7">
      <w:pPr>
        <w:spacing w:line="360" w:lineRule="auto"/>
        <w:ind w:firstLine="480" w:firstLineChars="200"/>
        <w:rPr>
          <w:bCs/>
          <w:sz w:val="24"/>
        </w:rPr>
      </w:pPr>
      <w:r>
        <w:rPr>
          <w:bCs/>
          <w:sz w:val="24"/>
        </w:rPr>
        <w:t>4、会计制度执行国家有关会计制度；</w:t>
      </w:r>
    </w:p>
    <w:p w14:paraId="597E7376">
      <w:pPr>
        <w:spacing w:line="360" w:lineRule="auto"/>
        <w:ind w:firstLine="480" w:firstLineChars="200"/>
        <w:rPr>
          <w:bCs/>
          <w:sz w:val="24"/>
        </w:rPr>
      </w:pPr>
      <w:r>
        <w:rPr>
          <w:bCs/>
          <w:sz w:val="24"/>
        </w:rPr>
        <w:t>5、本基金独立建账、独立核算；</w:t>
      </w:r>
    </w:p>
    <w:p w14:paraId="63204909">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14:paraId="689ECFEF">
      <w:pPr>
        <w:spacing w:line="360" w:lineRule="auto"/>
        <w:ind w:firstLine="480" w:firstLineChars="200"/>
        <w:rPr>
          <w:bCs/>
          <w:sz w:val="24"/>
        </w:rPr>
      </w:pPr>
      <w:r>
        <w:rPr>
          <w:bCs/>
          <w:sz w:val="24"/>
        </w:rPr>
        <w:t>7、基金托管人每月与基金管理人就基金的会计核算、报表编制等进行核对并以书面方式确认。</w:t>
      </w:r>
    </w:p>
    <w:p w14:paraId="2F9BF2B8">
      <w:pPr>
        <w:spacing w:line="360" w:lineRule="auto"/>
        <w:ind w:firstLine="480" w:firstLineChars="200"/>
        <w:rPr>
          <w:bCs/>
          <w:sz w:val="24"/>
        </w:rPr>
      </w:pPr>
      <w:r>
        <w:rPr>
          <w:bCs/>
          <w:sz w:val="24"/>
        </w:rPr>
        <w:t>二、基金的年度审计</w:t>
      </w:r>
    </w:p>
    <w:p w14:paraId="0CBB5018">
      <w:pPr>
        <w:spacing w:line="360" w:lineRule="auto"/>
        <w:ind w:firstLine="480" w:firstLineChars="200"/>
        <w:rPr>
          <w:bCs/>
          <w:sz w:val="24"/>
        </w:rPr>
      </w:pPr>
      <w:r>
        <w:rPr>
          <w:bCs/>
          <w:sz w:val="24"/>
        </w:rPr>
        <w:t>1、基金管理人聘请与基金管理人、基金托管人相互独立的具有证券</w:t>
      </w:r>
      <w:r>
        <w:rPr>
          <w:rFonts w:hint="eastAsia"/>
          <w:bCs/>
          <w:sz w:val="24"/>
        </w:rPr>
        <w:t>、期货</w:t>
      </w:r>
      <w:r>
        <w:rPr>
          <w:bCs/>
          <w:sz w:val="24"/>
        </w:rPr>
        <w:t>从业资格的会计师事务所及其注册会计师对本基金的年度财务报表进行审计。</w:t>
      </w:r>
    </w:p>
    <w:p w14:paraId="08FC54A1">
      <w:pPr>
        <w:spacing w:line="360" w:lineRule="auto"/>
        <w:ind w:firstLine="480" w:firstLineChars="200"/>
        <w:rPr>
          <w:bCs/>
          <w:sz w:val="24"/>
        </w:rPr>
      </w:pPr>
      <w:r>
        <w:rPr>
          <w:bCs/>
          <w:sz w:val="24"/>
        </w:rPr>
        <w:t>2、会计师事务所更换经办注册会计师，应事先征得基金管理人同意。</w:t>
      </w:r>
    </w:p>
    <w:p w14:paraId="534768E6">
      <w:pPr>
        <w:spacing w:line="360" w:lineRule="auto"/>
        <w:ind w:firstLine="480" w:firstLineChars="200"/>
        <w:rPr>
          <w:bCs/>
          <w:sz w:val="24"/>
        </w:rPr>
      </w:pPr>
      <w:r>
        <w:rPr>
          <w:bCs/>
          <w:sz w:val="24"/>
        </w:rPr>
        <w:t>3、</w:t>
      </w:r>
      <w:bookmarkStart w:id="363" w:name="_Hlt4221115"/>
      <w:bookmarkEnd w:id="363"/>
      <w:r>
        <w:rPr>
          <w:bCs/>
          <w:sz w:val="24"/>
        </w:rPr>
        <w:t>基金管理人认为有充足理由更换会计师事务所，须通报基金托管人。更换会计师事务所需</w:t>
      </w:r>
      <w:r>
        <w:rPr>
          <w:rFonts w:hint="eastAsia"/>
          <w:bCs/>
          <w:sz w:val="24"/>
        </w:rPr>
        <w:t>按规定</w:t>
      </w:r>
      <w:r>
        <w:rPr>
          <w:bCs/>
          <w:sz w:val="24"/>
        </w:rPr>
        <w:t>在</w:t>
      </w:r>
      <w:r>
        <w:rPr>
          <w:rFonts w:hint="eastAsia"/>
          <w:bCs/>
          <w:sz w:val="24"/>
        </w:rPr>
        <w:t>指定媒介</w:t>
      </w:r>
      <w:r>
        <w:rPr>
          <w:bCs/>
          <w:sz w:val="24"/>
        </w:rPr>
        <w:t>公告。</w:t>
      </w:r>
    </w:p>
    <w:p w14:paraId="7590132C">
      <w:pPr>
        <w:pStyle w:val="2"/>
        <w:spacing w:before="0" w:after="0"/>
        <w:jc w:val="center"/>
        <w:rPr>
          <w:rFonts w:ascii="Times New Roman"/>
          <w:color w:val="auto"/>
          <w:sz w:val="30"/>
        </w:rPr>
      </w:pPr>
      <w:r>
        <w:rPr>
          <w:rFonts w:ascii="Times New Roman"/>
          <w:b w:val="0"/>
          <w:bCs/>
          <w:color w:val="auto"/>
        </w:rPr>
        <w:br w:type="page"/>
      </w:r>
      <w:bookmarkStart w:id="364" w:name="_Toc93226151"/>
      <w:bookmarkStart w:id="365" w:name="_Toc92662709"/>
      <w:bookmarkStart w:id="366" w:name="_Toc11802"/>
      <w:bookmarkStart w:id="367" w:name="_Toc8512"/>
      <w:bookmarkStart w:id="368" w:name="_Toc1421"/>
      <w:bookmarkStart w:id="369" w:name="_Toc11049"/>
      <w:bookmarkStart w:id="370" w:name="_Toc1173"/>
      <w:bookmarkStart w:id="371" w:name="_Toc12028"/>
      <w:bookmarkStart w:id="372" w:name="_Toc31866"/>
      <w:bookmarkStart w:id="373" w:name="_Toc193"/>
      <w:bookmarkStart w:id="374" w:name="_Toc128310501"/>
      <w:bookmarkStart w:id="375" w:name="_Toc21351"/>
      <w:bookmarkStart w:id="376" w:name="_Toc141703898"/>
      <w:bookmarkStart w:id="377" w:name="_Toc139991748"/>
      <w:bookmarkStart w:id="378" w:name="_Toc3056"/>
      <w:bookmarkStart w:id="379" w:name="_Toc29289"/>
      <w:r>
        <w:rPr>
          <w:rFonts w:ascii="Times New Roman"/>
          <w:color w:val="auto"/>
          <w:sz w:val="30"/>
        </w:rPr>
        <w:t>第十八部分  基金</w:t>
      </w:r>
      <w:bookmarkEnd w:id="364"/>
      <w:bookmarkEnd w:id="365"/>
      <w:r>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33C7419">
      <w:pPr>
        <w:spacing w:line="360" w:lineRule="auto"/>
        <w:ind w:firstLine="480" w:firstLineChars="200"/>
        <w:rPr>
          <w:bCs/>
          <w:sz w:val="24"/>
        </w:rPr>
      </w:pPr>
    </w:p>
    <w:p w14:paraId="313EB953">
      <w:pPr>
        <w:spacing w:line="360" w:lineRule="auto"/>
        <w:ind w:firstLine="480" w:firstLineChars="20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14:paraId="4E58819D">
      <w:pPr>
        <w:spacing w:line="360" w:lineRule="auto"/>
        <w:ind w:firstLine="480" w:firstLineChars="200"/>
        <w:rPr>
          <w:bCs/>
          <w:sz w:val="24"/>
        </w:rPr>
      </w:pPr>
      <w:r>
        <w:rPr>
          <w:bCs/>
          <w:sz w:val="24"/>
        </w:rPr>
        <w:t>二、信息披露义务人</w:t>
      </w:r>
    </w:p>
    <w:p w14:paraId="3471436B">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非法人组织</w:t>
      </w:r>
      <w:r>
        <w:rPr>
          <w:bCs/>
          <w:sz w:val="24"/>
        </w:rPr>
        <w:t>。</w:t>
      </w:r>
    </w:p>
    <w:p w14:paraId="78344279">
      <w:pPr>
        <w:spacing w:line="360" w:lineRule="auto"/>
        <w:ind w:firstLine="480" w:firstLineChars="20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07E71DA9">
      <w:pPr>
        <w:spacing w:line="360" w:lineRule="auto"/>
        <w:ind w:firstLine="480" w:firstLineChars="20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全国性报刊（以下简称“指定报刊”）和指定互联网网站（以下简称“指定网站”，包括基金管理人网站、基金托管人网站、中国证监会基金电子披露网站）等</w:t>
      </w:r>
      <w:r>
        <w:rPr>
          <w:bCs/>
          <w:sz w:val="24"/>
        </w:rPr>
        <w:t>媒介披露，并保证基金投资者能够按照《基金合同》约定的时间和方式查阅或者复制公开披露的信息资料。</w:t>
      </w:r>
    </w:p>
    <w:p w14:paraId="4869A00E">
      <w:pPr>
        <w:spacing w:line="360" w:lineRule="auto"/>
        <w:ind w:firstLine="480" w:firstLineChars="200"/>
        <w:rPr>
          <w:bCs/>
          <w:sz w:val="24"/>
        </w:rPr>
      </w:pPr>
      <w:r>
        <w:rPr>
          <w:bCs/>
          <w:sz w:val="24"/>
        </w:rPr>
        <w:t>三、本基金信息披露义务人承诺公开披露的基金信息，不得有下列行为：</w:t>
      </w:r>
    </w:p>
    <w:p w14:paraId="172E13C1">
      <w:pPr>
        <w:spacing w:line="360" w:lineRule="auto"/>
        <w:ind w:firstLine="480" w:firstLineChars="200"/>
        <w:rPr>
          <w:bCs/>
          <w:sz w:val="24"/>
        </w:rPr>
      </w:pPr>
      <w:r>
        <w:rPr>
          <w:bCs/>
          <w:sz w:val="24"/>
        </w:rPr>
        <w:t>1、虚假记载、误导性陈述或者重大遗漏；</w:t>
      </w:r>
    </w:p>
    <w:p w14:paraId="5DB87E58">
      <w:pPr>
        <w:spacing w:line="360" w:lineRule="auto"/>
        <w:ind w:firstLine="480" w:firstLineChars="200"/>
        <w:rPr>
          <w:bCs/>
          <w:sz w:val="24"/>
        </w:rPr>
      </w:pPr>
      <w:r>
        <w:rPr>
          <w:bCs/>
          <w:sz w:val="24"/>
        </w:rPr>
        <w:t>2、对证券投资业绩进行预测；</w:t>
      </w:r>
    </w:p>
    <w:p w14:paraId="09D3EEC2">
      <w:pPr>
        <w:spacing w:line="360" w:lineRule="auto"/>
        <w:ind w:firstLine="480" w:firstLineChars="200"/>
        <w:rPr>
          <w:bCs/>
          <w:sz w:val="24"/>
        </w:rPr>
      </w:pPr>
      <w:r>
        <w:rPr>
          <w:bCs/>
          <w:sz w:val="24"/>
        </w:rPr>
        <w:t>3、违规承诺收益或者承担损失；</w:t>
      </w:r>
    </w:p>
    <w:p w14:paraId="227B3476">
      <w:pPr>
        <w:spacing w:line="360" w:lineRule="auto"/>
        <w:ind w:firstLine="480" w:firstLineChars="200"/>
        <w:rPr>
          <w:bCs/>
          <w:sz w:val="24"/>
        </w:rPr>
      </w:pPr>
      <w:r>
        <w:rPr>
          <w:bCs/>
          <w:sz w:val="24"/>
        </w:rPr>
        <w:t>4、诋毁其他基金管理人、基金托管人或者基金销售机构；</w:t>
      </w:r>
    </w:p>
    <w:p w14:paraId="6B985E3E">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14:paraId="4F646663">
      <w:pPr>
        <w:spacing w:line="360" w:lineRule="auto"/>
        <w:ind w:firstLine="480" w:firstLineChars="200"/>
        <w:rPr>
          <w:bCs/>
          <w:sz w:val="24"/>
        </w:rPr>
      </w:pPr>
      <w:r>
        <w:rPr>
          <w:bCs/>
          <w:sz w:val="24"/>
        </w:rPr>
        <w:t>6、中国证监会禁止的其他行为。</w:t>
      </w:r>
    </w:p>
    <w:p w14:paraId="59B8B32A">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DBE2BE0">
      <w:pPr>
        <w:spacing w:line="360" w:lineRule="auto"/>
        <w:ind w:firstLine="480" w:firstLineChars="200"/>
        <w:rPr>
          <w:bCs/>
          <w:sz w:val="24"/>
        </w:rPr>
      </w:pPr>
      <w:r>
        <w:rPr>
          <w:bCs/>
          <w:sz w:val="24"/>
        </w:rPr>
        <w:t>本基金公开披露的信息采用阿拉伯数字；除特别说明外，货币单位为人民币元。</w:t>
      </w:r>
    </w:p>
    <w:p w14:paraId="23A5ED25">
      <w:pPr>
        <w:spacing w:line="360" w:lineRule="auto"/>
        <w:ind w:firstLine="480" w:firstLineChars="200"/>
        <w:rPr>
          <w:bCs/>
          <w:sz w:val="24"/>
        </w:rPr>
      </w:pPr>
      <w:r>
        <w:rPr>
          <w:bCs/>
          <w:sz w:val="24"/>
        </w:rPr>
        <w:t>五、公开披露的基金信息</w:t>
      </w:r>
    </w:p>
    <w:p w14:paraId="2F8763D5">
      <w:pPr>
        <w:spacing w:line="360" w:lineRule="auto"/>
        <w:ind w:firstLine="480" w:firstLineChars="200"/>
        <w:rPr>
          <w:bCs/>
          <w:sz w:val="24"/>
        </w:rPr>
      </w:pPr>
      <w:r>
        <w:rPr>
          <w:bCs/>
          <w:sz w:val="24"/>
        </w:rPr>
        <w:t>公开披露的基金信息包括：</w:t>
      </w:r>
    </w:p>
    <w:p w14:paraId="780DAF7A">
      <w:pPr>
        <w:spacing w:line="360" w:lineRule="auto"/>
        <w:ind w:firstLine="480" w:firstLineChars="200"/>
        <w:rPr>
          <w:bCs/>
          <w:sz w:val="24"/>
        </w:rPr>
      </w:pPr>
      <w:r>
        <w:rPr>
          <w:bCs/>
          <w:sz w:val="24"/>
        </w:rPr>
        <w:t>（一）基金招募说明书、</w:t>
      </w:r>
      <w:r>
        <w:rPr>
          <w:rFonts w:hint="eastAsia"/>
          <w:bCs/>
          <w:sz w:val="24"/>
        </w:rPr>
        <w:t>基金产品资料概要、</w:t>
      </w:r>
      <w:r>
        <w:rPr>
          <w:bCs/>
          <w:sz w:val="24"/>
        </w:rPr>
        <w:t>《基金合同》、基金托管协议</w:t>
      </w:r>
    </w:p>
    <w:p w14:paraId="4011D800">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14:paraId="07985B6F">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w:t>
      </w:r>
    </w:p>
    <w:p w14:paraId="7AF86638">
      <w:pPr>
        <w:spacing w:line="360" w:lineRule="auto"/>
        <w:ind w:firstLine="480" w:firstLineChars="200"/>
        <w:rPr>
          <w:bCs/>
          <w:sz w:val="24"/>
        </w:rPr>
      </w:pPr>
      <w:r>
        <w:rPr>
          <w:rFonts w:hint="eastAsia"/>
          <w:bCs/>
          <w:sz w:val="24"/>
        </w:rPr>
        <w:t xml:space="preserve">基金产品资料概要是基金招募说明书的摘要文件，用于向投资者提供简明的基金概要信息。基金管理人应当依照法律法规和中国证监会的规定编制、披露与更新基金产品资料概要。 </w:t>
      </w:r>
    </w:p>
    <w:p w14:paraId="26767BB0">
      <w:pPr>
        <w:spacing w:line="360" w:lineRule="auto"/>
        <w:ind w:firstLine="480" w:firstLineChars="200"/>
        <w:rPr>
          <w:bCs/>
          <w:sz w:val="24"/>
        </w:rPr>
      </w:pPr>
      <w:r>
        <w:rPr>
          <w:rFonts w:hint="eastAsia"/>
          <w:bCs/>
          <w:sz w:val="24"/>
        </w:rPr>
        <w:t xml:space="preserve">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其他情况下，基金管理人至少每年更新一次基金招募说明书、基金产品资料概要。 </w:t>
      </w:r>
    </w:p>
    <w:p w14:paraId="2A73E6D4">
      <w:pPr>
        <w:spacing w:line="360" w:lineRule="auto"/>
        <w:ind w:firstLine="480" w:firstLineChars="200"/>
        <w:rPr>
          <w:bCs/>
          <w:sz w:val="24"/>
        </w:rPr>
      </w:pPr>
      <w:r>
        <w:rPr>
          <w:rFonts w:hint="eastAsia"/>
          <w:bCs/>
          <w:sz w:val="24"/>
        </w:rPr>
        <w:t>基金终止运作后，基金管理人可以不再更新基金招募说明书和基金产品资料概要。</w:t>
      </w:r>
    </w:p>
    <w:p w14:paraId="3B6B2F54">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14:paraId="1A037AF7">
      <w:pPr>
        <w:spacing w:line="360" w:lineRule="auto"/>
        <w:ind w:firstLine="480" w:firstLineChars="200"/>
        <w:rPr>
          <w:bCs/>
          <w:sz w:val="24"/>
        </w:rPr>
      </w:pPr>
      <w:r>
        <w:rPr>
          <w:bCs/>
          <w:sz w:val="24"/>
        </w:rPr>
        <w:t>（二）基金份额发售公告</w:t>
      </w:r>
    </w:p>
    <w:p w14:paraId="12911A38">
      <w:pPr>
        <w:spacing w:line="360" w:lineRule="auto"/>
        <w:ind w:firstLine="480" w:firstLineChars="200"/>
        <w:rPr>
          <w:bCs/>
          <w:sz w:val="24"/>
        </w:rPr>
      </w:pPr>
      <w:r>
        <w:rPr>
          <w:bCs/>
          <w:sz w:val="24"/>
        </w:rPr>
        <w:t>基金管理人应当就基金份额发售的具体事宜编制基金份额发售公告，并在披露招募说明书的当日登载于指定媒介上。</w:t>
      </w:r>
    </w:p>
    <w:p w14:paraId="63A78A91">
      <w:pPr>
        <w:spacing w:line="360" w:lineRule="auto"/>
        <w:ind w:firstLine="480" w:firstLineChars="200"/>
        <w:rPr>
          <w:bCs/>
          <w:sz w:val="24"/>
        </w:rPr>
      </w:pPr>
      <w:r>
        <w:rPr>
          <w:bCs/>
          <w:sz w:val="24"/>
        </w:rPr>
        <w:t>（三）《基金合同》生效公告</w:t>
      </w:r>
    </w:p>
    <w:p w14:paraId="2D7BCDAB">
      <w:pPr>
        <w:spacing w:line="360" w:lineRule="auto"/>
        <w:ind w:firstLine="480" w:firstLineChars="200"/>
        <w:rPr>
          <w:bCs/>
          <w:sz w:val="24"/>
        </w:rPr>
      </w:pPr>
      <w:r>
        <w:rPr>
          <w:bCs/>
          <w:sz w:val="24"/>
        </w:rPr>
        <w:t>基金管理人应当在收到中国证监会确认文件的次日在指定媒介上登载《基金合同》生效公告。</w:t>
      </w:r>
    </w:p>
    <w:p w14:paraId="018DEFAB">
      <w:pPr>
        <w:spacing w:line="360" w:lineRule="auto"/>
        <w:ind w:firstLine="480" w:firstLineChars="200"/>
        <w:rPr>
          <w:bCs/>
          <w:sz w:val="24"/>
        </w:rPr>
      </w:pPr>
      <w:r>
        <w:rPr>
          <w:bCs/>
          <w:sz w:val="24"/>
        </w:rPr>
        <w:t>（四）基金净值</w:t>
      </w:r>
      <w:r>
        <w:rPr>
          <w:rFonts w:hint="eastAsia"/>
          <w:bCs/>
          <w:sz w:val="24"/>
        </w:rPr>
        <w:t>信息</w:t>
      </w:r>
    </w:p>
    <w:p w14:paraId="3D301EBB">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在指定网站披露一次各类基金份额净值和基金份额累计净值</w:t>
      </w:r>
      <w:r>
        <w:rPr>
          <w:bCs/>
          <w:sz w:val="24"/>
        </w:rPr>
        <w:t>。</w:t>
      </w:r>
    </w:p>
    <w:p w14:paraId="7A17BAD5">
      <w:pPr>
        <w:spacing w:line="360" w:lineRule="auto"/>
        <w:ind w:firstLine="480" w:firstLineChars="200"/>
        <w:rPr>
          <w:bCs/>
          <w:sz w:val="24"/>
        </w:rPr>
      </w:pPr>
      <w:r>
        <w:rPr>
          <w:bCs/>
          <w:sz w:val="24"/>
        </w:rPr>
        <w:t>在开始办理基金份额申购或者赎回后，基金管理人应当在</w:t>
      </w:r>
      <w:r>
        <w:rPr>
          <w:rFonts w:hint="eastAsia"/>
          <w:bCs/>
          <w:sz w:val="24"/>
        </w:rPr>
        <w:t>不晚于每个开放日的次日，通过指定网站、基金销售机构网站或者营业网点披露开放日的各类基金份额净值和基金份额累计净值。</w:t>
      </w:r>
    </w:p>
    <w:p w14:paraId="7B676CF2">
      <w:pPr>
        <w:spacing w:line="360" w:lineRule="auto"/>
        <w:ind w:firstLine="480" w:firstLineChars="200"/>
        <w:rPr>
          <w:bCs/>
          <w:sz w:val="24"/>
        </w:rPr>
      </w:pPr>
      <w:r>
        <w:rPr>
          <w:bCs/>
          <w:sz w:val="24"/>
        </w:rPr>
        <w:t>基金管理人应当</w:t>
      </w:r>
      <w:r>
        <w:rPr>
          <w:rFonts w:hint="eastAsia"/>
          <w:bCs/>
          <w:sz w:val="24"/>
        </w:rPr>
        <w:t>在不晚于半年度和年度最后一日的次日，在指定网站披露半年度和年度最后一日的各类基金份额净值和基金份额累计净值</w:t>
      </w:r>
      <w:r>
        <w:rPr>
          <w:bCs/>
          <w:sz w:val="24"/>
        </w:rPr>
        <w:t>。</w:t>
      </w:r>
    </w:p>
    <w:p w14:paraId="49CB6B96">
      <w:pPr>
        <w:spacing w:line="360" w:lineRule="auto"/>
        <w:ind w:firstLine="480" w:firstLineChars="200"/>
        <w:rPr>
          <w:bCs/>
          <w:sz w:val="24"/>
        </w:rPr>
      </w:pPr>
      <w:r>
        <w:rPr>
          <w:bCs/>
          <w:sz w:val="24"/>
        </w:rPr>
        <w:t>（五）基金份额申购、赎回价格</w:t>
      </w:r>
    </w:p>
    <w:p w14:paraId="1BEB3415">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基金管理人应当在《基金合同》、招募说明书等信息披露文件上载明基金份额申购、赎回价格的计算方式及有关申购、赎回费率，并保证投资者能够在基金份额</w:t>
      </w:r>
      <w:r>
        <w:rPr>
          <w:rFonts w:hint="eastAsia"/>
          <w:bCs/>
          <w:sz w:val="24"/>
        </w:rPr>
        <w:t>销售机构网站或营业网点</w:t>
      </w:r>
      <w:r>
        <w:rPr>
          <w:bCs/>
          <w:sz w:val="24"/>
        </w:rPr>
        <w:t>查阅或者复制前述信息资料。</w:t>
      </w:r>
    </w:p>
    <w:p w14:paraId="2939D442">
      <w:pPr>
        <w:spacing w:line="360" w:lineRule="auto"/>
        <w:ind w:firstLine="480" w:firstLineChars="200"/>
        <w:rPr>
          <w:bCs/>
          <w:sz w:val="24"/>
        </w:rPr>
      </w:pPr>
      <w:r>
        <w:rPr>
          <w:bCs/>
          <w:sz w:val="24"/>
        </w:rPr>
        <w:t>（六）基金定期报告，包括基金年度报告、基金</w:t>
      </w:r>
      <w:r>
        <w:rPr>
          <w:rFonts w:hint="eastAsia"/>
          <w:bCs/>
          <w:sz w:val="24"/>
        </w:rPr>
        <w:t>中期</w:t>
      </w:r>
      <w:r>
        <w:rPr>
          <w:bCs/>
          <w:sz w:val="24"/>
        </w:rPr>
        <w:t>报告和基金季度报告</w:t>
      </w:r>
      <w:r>
        <w:rPr>
          <w:rFonts w:hint="eastAsia"/>
          <w:bCs/>
          <w:sz w:val="24"/>
        </w:rPr>
        <w:t>（含资产组合季度报告）</w:t>
      </w:r>
    </w:p>
    <w:p w14:paraId="2A90BE85">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内，编制完成基金年度报告，将年度报告登载在</w:t>
      </w:r>
      <w:r>
        <w:rPr>
          <w:rFonts w:hint="eastAsia"/>
          <w:bCs/>
          <w:sz w:val="24"/>
        </w:rPr>
        <w:t>指定网站上，并将年度报告提示性公告登载在指定报刊上</w:t>
      </w:r>
      <w:r>
        <w:rPr>
          <w:bCs/>
          <w:sz w:val="24"/>
        </w:rPr>
        <w:t>。基金年度报告的财务会计报告应当经过</w:t>
      </w:r>
      <w:r>
        <w:rPr>
          <w:rFonts w:hint="eastAsia"/>
          <w:bCs/>
          <w:sz w:val="24"/>
        </w:rPr>
        <w:t>具有证券、期货相关业务资格的会计师事务所</w:t>
      </w:r>
      <w:r>
        <w:rPr>
          <w:bCs/>
          <w:sz w:val="24"/>
        </w:rPr>
        <w:t>审计。</w:t>
      </w:r>
    </w:p>
    <w:p w14:paraId="0DE9C64B">
      <w:pPr>
        <w:spacing w:line="360" w:lineRule="auto"/>
        <w:ind w:firstLine="480" w:firstLineChars="20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指定</w:t>
      </w:r>
      <w:r>
        <w:rPr>
          <w:bCs/>
          <w:sz w:val="24"/>
        </w:rPr>
        <w:t>网站上，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提示性公告登载在指定报刊上</w:t>
      </w:r>
      <w:r>
        <w:rPr>
          <w:bCs/>
          <w:sz w:val="24"/>
        </w:rPr>
        <w:t>。</w:t>
      </w:r>
    </w:p>
    <w:p w14:paraId="5C68D3C8">
      <w:pPr>
        <w:spacing w:line="360" w:lineRule="auto"/>
        <w:ind w:firstLine="480" w:firstLineChars="200"/>
        <w:rPr>
          <w:bCs/>
          <w:sz w:val="24"/>
        </w:rPr>
      </w:pPr>
      <w:r>
        <w:rPr>
          <w:bCs/>
          <w:sz w:val="24"/>
        </w:rPr>
        <w:t>基金管理人应当在每个季度结束之日起15个工作日内，编制完成基金季度报告，将季度报告登载在指定</w:t>
      </w:r>
      <w:r>
        <w:rPr>
          <w:rFonts w:hint="eastAsia"/>
          <w:bCs/>
          <w:sz w:val="24"/>
        </w:rPr>
        <w:t>网站上，并将季度报告提示性公告登载在指定报刊上</w:t>
      </w:r>
      <w:r>
        <w:rPr>
          <w:bCs/>
          <w:sz w:val="24"/>
        </w:rPr>
        <w:t>。</w:t>
      </w:r>
    </w:p>
    <w:p w14:paraId="3C9183C3">
      <w:pPr>
        <w:spacing w:line="360" w:lineRule="auto"/>
        <w:ind w:firstLine="480" w:firstLineChars="200"/>
        <w:rPr>
          <w:bCs/>
          <w:sz w:val="24"/>
        </w:rPr>
      </w:pPr>
      <w:r>
        <w:rPr>
          <w:bCs/>
          <w:sz w:val="24"/>
        </w:rPr>
        <w:t>《基金合同》生效不足2个月的，基金管理人可以不编制当期季度报告、</w:t>
      </w:r>
      <w:r>
        <w:rPr>
          <w:rFonts w:hint="eastAsia"/>
          <w:bCs/>
          <w:sz w:val="24"/>
        </w:rPr>
        <w:t>中期</w:t>
      </w:r>
      <w:r>
        <w:rPr>
          <w:bCs/>
          <w:sz w:val="24"/>
        </w:rPr>
        <w:t>报告或者年度报告。</w:t>
      </w:r>
    </w:p>
    <w:p w14:paraId="35789D18">
      <w:pPr>
        <w:spacing w:line="360" w:lineRule="auto"/>
        <w:ind w:firstLine="480" w:firstLineChars="200"/>
        <w:rPr>
          <w:bCs/>
          <w:sz w:val="24"/>
        </w:rPr>
      </w:pPr>
      <w:r>
        <w:rPr>
          <w:rFonts w:hint="eastAsia"/>
          <w:bCs/>
          <w:sz w:val="24"/>
        </w:rPr>
        <w:t>基金持续运作过程中，应当在基金年度报告和中期报告中披露基金组合资产情况及其流动性风险分析等。</w:t>
      </w:r>
    </w:p>
    <w:p w14:paraId="6F2F5F9B">
      <w:pPr>
        <w:spacing w:line="360" w:lineRule="auto"/>
        <w:ind w:firstLine="480" w:firstLineChars="200"/>
        <w:rPr>
          <w:bCs/>
          <w:sz w:val="24"/>
        </w:rPr>
      </w:pPr>
      <w:r>
        <w:rPr>
          <w:rFonts w:hint="eastAsia"/>
          <w:bCs/>
          <w:sz w:val="24"/>
        </w:rPr>
        <w:t>报告期内出现单一投资者持有基金份额比例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773BEDD">
      <w:pPr>
        <w:spacing w:line="360" w:lineRule="auto"/>
        <w:ind w:firstLine="480" w:firstLineChars="200"/>
        <w:rPr>
          <w:bCs/>
          <w:sz w:val="24"/>
        </w:rPr>
      </w:pPr>
      <w:r>
        <w:rPr>
          <w:bCs/>
          <w:sz w:val="24"/>
        </w:rPr>
        <w:t>（七）临时报告</w:t>
      </w:r>
    </w:p>
    <w:p w14:paraId="7E6DDA01">
      <w:pPr>
        <w:spacing w:line="360" w:lineRule="auto"/>
        <w:ind w:firstLine="480" w:firstLineChars="200"/>
        <w:rPr>
          <w:bCs/>
          <w:sz w:val="24"/>
        </w:rPr>
      </w:pPr>
      <w:r>
        <w:rPr>
          <w:bCs/>
          <w:sz w:val="24"/>
        </w:rPr>
        <w:t>本基金发生重大事件，有关信息披露义务人应当</w:t>
      </w:r>
      <w:r>
        <w:rPr>
          <w:rFonts w:hint="eastAsia"/>
          <w:bCs/>
          <w:sz w:val="24"/>
        </w:rPr>
        <w:t>按规定</w:t>
      </w:r>
      <w:r>
        <w:rPr>
          <w:bCs/>
          <w:sz w:val="24"/>
        </w:rPr>
        <w:t>编制临时报告书，并</w:t>
      </w:r>
      <w:r>
        <w:rPr>
          <w:rFonts w:hint="eastAsia"/>
          <w:bCs/>
          <w:sz w:val="24"/>
        </w:rPr>
        <w:t>登载在指定报刊和指定网站上</w:t>
      </w:r>
      <w:r>
        <w:rPr>
          <w:bCs/>
          <w:sz w:val="24"/>
        </w:rPr>
        <w:t>。</w:t>
      </w:r>
    </w:p>
    <w:p w14:paraId="575161A1">
      <w:pPr>
        <w:spacing w:line="360" w:lineRule="auto"/>
        <w:ind w:firstLine="480" w:firstLineChars="200"/>
        <w:rPr>
          <w:bCs/>
          <w:sz w:val="24"/>
        </w:rPr>
      </w:pPr>
      <w:r>
        <w:rPr>
          <w:bCs/>
          <w:sz w:val="24"/>
        </w:rPr>
        <w:t>前款所称重大事件，是指可能对基金份额持有人权益或者基金份额的价格产生重大影响的下列事件：</w:t>
      </w:r>
    </w:p>
    <w:p w14:paraId="681B54B2">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14:paraId="7B8D307D">
      <w:pPr>
        <w:spacing w:line="360" w:lineRule="auto"/>
        <w:ind w:firstLine="480" w:firstLineChars="200"/>
        <w:rPr>
          <w:bCs/>
          <w:sz w:val="24"/>
        </w:rPr>
      </w:pPr>
      <w:r>
        <w:rPr>
          <w:bCs/>
          <w:sz w:val="24"/>
        </w:rPr>
        <w:t>2、《基金合同》</w:t>
      </w:r>
      <w:r>
        <w:rPr>
          <w:rFonts w:hint="eastAsia"/>
          <w:bCs/>
          <w:sz w:val="24"/>
        </w:rPr>
        <w:t>终止、基金清算</w:t>
      </w:r>
      <w:r>
        <w:rPr>
          <w:bCs/>
          <w:sz w:val="24"/>
        </w:rPr>
        <w:t>；</w:t>
      </w:r>
    </w:p>
    <w:p w14:paraId="728A26F7">
      <w:pPr>
        <w:spacing w:line="360" w:lineRule="auto"/>
        <w:ind w:firstLine="480" w:firstLineChars="200"/>
        <w:rPr>
          <w:bCs/>
          <w:sz w:val="24"/>
        </w:rPr>
      </w:pPr>
      <w:r>
        <w:rPr>
          <w:bCs/>
          <w:sz w:val="24"/>
        </w:rPr>
        <w:t>3、转换基金运作方式</w:t>
      </w:r>
      <w:r>
        <w:rPr>
          <w:rFonts w:hint="eastAsia"/>
          <w:bCs/>
          <w:sz w:val="24"/>
        </w:rPr>
        <w:t>、基金合并</w:t>
      </w:r>
      <w:r>
        <w:rPr>
          <w:bCs/>
          <w:sz w:val="24"/>
        </w:rPr>
        <w:t>；</w:t>
      </w:r>
    </w:p>
    <w:p w14:paraId="3905BFCD">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14:paraId="2C9BEEDF">
      <w:pPr>
        <w:spacing w:line="360" w:lineRule="auto"/>
        <w:ind w:firstLine="480" w:firstLineChars="200"/>
        <w:rPr>
          <w:bCs/>
          <w:sz w:val="24"/>
        </w:rPr>
      </w:pPr>
      <w:r>
        <w:rPr>
          <w:bCs/>
          <w:sz w:val="24"/>
        </w:rPr>
        <w:t>5、基金管理人、基金托管人的法定名称、住所发生变更；</w:t>
      </w:r>
    </w:p>
    <w:p w14:paraId="75279ADA">
      <w:pPr>
        <w:spacing w:line="360" w:lineRule="auto"/>
        <w:ind w:firstLine="480" w:firstLineChars="200"/>
        <w:rPr>
          <w:bCs/>
          <w:sz w:val="24"/>
        </w:rPr>
      </w:pPr>
      <w:r>
        <w:rPr>
          <w:bCs/>
          <w:sz w:val="24"/>
        </w:rPr>
        <w:t>6、</w:t>
      </w:r>
      <w:r>
        <w:rPr>
          <w:rFonts w:hint="eastAsia"/>
          <w:bCs/>
          <w:sz w:val="24"/>
        </w:rPr>
        <w:t xml:space="preserve">基金管理人委托基金服务机构代为办理基金的份额登记、核算、估值等事项，基金托管人委托基金服务机构代为办理基金的核算、估值、复核等事项； </w:t>
      </w:r>
    </w:p>
    <w:p w14:paraId="0B6CA618">
      <w:pPr>
        <w:spacing w:line="360" w:lineRule="auto"/>
        <w:ind w:firstLine="480" w:firstLineChars="200"/>
        <w:rPr>
          <w:bCs/>
          <w:sz w:val="24"/>
        </w:rPr>
      </w:pPr>
      <w:r>
        <w:rPr>
          <w:rFonts w:hint="eastAsia"/>
          <w:bCs/>
          <w:sz w:val="24"/>
        </w:rPr>
        <w:t>7、基金管理人变更持有百分之五以上股权的股东、变更基金管理人的实际控制人；</w:t>
      </w:r>
    </w:p>
    <w:p w14:paraId="622C94CC">
      <w:pPr>
        <w:spacing w:line="360" w:lineRule="auto"/>
        <w:ind w:firstLine="480" w:firstLineChars="200"/>
        <w:rPr>
          <w:bCs/>
          <w:sz w:val="24"/>
        </w:rPr>
      </w:pPr>
      <w:r>
        <w:rPr>
          <w:bCs/>
          <w:sz w:val="24"/>
        </w:rPr>
        <w:t>8</w:t>
      </w:r>
      <w:r>
        <w:rPr>
          <w:rFonts w:hint="eastAsia"/>
          <w:bCs/>
          <w:sz w:val="24"/>
        </w:rPr>
        <w:t>、基金管理人高级管理人员、基金经理和基金托管人专门基金托管部门负责人发生变动；</w:t>
      </w:r>
    </w:p>
    <w:p w14:paraId="63554B25">
      <w:pPr>
        <w:spacing w:line="360" w:lineRule="auto"/>
        <w:ind w:firstLine="480" w:firstLineChars="200"/>
        <w:rPr>
          <w:bCs/>
          <w:sz w:val="24"/>
        </w:rPr>
      </w:pPr>
      <w:r>
        <w:rPr>
          <w:bCs/>
          <w:sz w:val="24"/>
        </w:rPr>
        <w:t>9</w:t>
      </w:r>
      <w:r>
        <w:rPr>
          <w:rFonts w:hint="eastAsia"/>
          <w:bCs/>
          <w:sz w:val="24"/>
        </w:rPr>
        <w:t>、基金管理人的董事在最近12个月内变更超过百分之五十；</w:t>
      </w:r>
      <w:r>
        <w:rPr>
          <w:bCs/>
          <w:sz w:val="24"/>
        </w:rPr>
        <w:t xml:space="preserve"> </w:t>
      </w:r>
    </w:p>
    <w:p w14:paraId="5A30C001">
      <w:pPr>
        <w:spacing w:line="360" w:lineRule="auto"/>
        <w:ind w:firstLine="480" w:firstLineChars="200"/>
        <w:rPr>
          <w:bCs/>
          <w:sz w:val="24"/>
        </w:rPr>
      </w:pPr>
      <w:r>
        <w:rPr>
          <w:bCs/>
          <w:sz w:val="24"/>
        </w:rPr>
        <w:t>10、基金管理人、基金托管人</w:t>
      </w:r>
      <w:r>
        <w:rPr>
          <w:rFonts w:hint="eastAsia"/>
          <w:bCs/>
          <w:sz w:val="24"/>
        </w:rPr>
        <w:t>专门</w:t>
      </w:r>
      <w:r>
        <w:rPr>
          <w:bCs/>
          <w:sz w:val="24"/>
        </w:rPr>
        <w:t>基金托管部门的主要业务人员在</w:t>
      </w:r>
      <w:r>
        <w:rPr>
          <w:rFonts w:hint="eastAsia"/>
          <w:bCs/>
          <w:sz w:val="24"/>
        </w:rPr>
        <w:t>最近12个月内</w:t>
      </w:r>
      <w:r>
        <w:rPr>
          <w:bCs/>
          <w:sz w:val="24"/>
        </w:rPr>
        <w:t>变动超过百分之三十；</w:t>
      </w:r>
    </w:p>
    <w:p w14:paraId="1B42BFFB">
      <w:pPr>
        <w:spacing w:line="360" w:lineRule="auto"/>
        <w:ind w:firstLine="480" w:firstLineChars="200"/>
        <w:rPr>
          <w:bCs/>
          <w:sz w:val="24"/>
        </w:rPr>
      </w:pPr>
      <w:r>
        <w:rPr>
          <w:bCs/>
          <w:sz w:val="24"/>
        </w:rPr>
        <w:t>11、涉及基金财产、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6ACBBCF3">
      <w:pPr>
        <w:spacing w:line="360" w:lineRule="auto"/>
        <w:ind w:firstLine="480" w:firstLineChars="200"/>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251C9C08">
      <w:pPr>
        <w:spacing w:line="360" w:lineRule="auto"/>
        <w:ind w:firstLine="480" w:firstLineChars="200"/>
        <w:rPr>
          <w:bCs/>
          <w:sz w:val="24"/>
        </w:rPr>
      </w:pPr>
      <w:r>
        <w:rPr>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Pr>
          <w:bCs/>
          <w:sz w:val="24"/>
        </w:rPr>
        <w:t>；</w:t>
      </w:r>
    </w:p>
    <w:p w14:paraId="559AAC28">
      <w:pPr>
        <w:spacing w:line="360" w:lineRule="auto"/>
        <w:ind w:firstLine="480" w:firstLineChars="200"/>
        <w:rPr>
          <w:bCs/>
          <w:sz w:val="24"/>
        </w:rPr>
      </w:pPr>
      <w:r>
        <w:rPr>
          <w:bCs/>
          <w:sz w:val="24"/>
        </w:rPr>
        <w:t>14、基金收益分配事项；</w:t>
      </w:r>
    </w:p>
    <w:p w14:paraId="29CB5EC9">
      <w:pPr>
        <w:spacing w:line="360" w:lineRule="auto"/>
        <w:ind w:firstLine="480" w:firstLineChars="200"/>
        <w:rPr>
          <w:bCs/>
          <w:sz w:val="24"/>
        </w:rPr>
      </w:pPr>
      <w:r>
        <w:rPr>
          <w:bCs/>
          <w:sz w:val="24"/>
        </w:rPr>
        <w:t>15、</w:t>
      </w:r>
      <w:r>
        <w:rPr>
          <w:rFonts w:hint="eastAsia"/>
          <w:bCs/>
          <w:sz w:val="24"/>
        </w:rPr>
        <w:t>基金</w:t>
      </w:r>
      <w:r>
        <w:rPr>
          <w:bCs/>
          <w:sz w:val="24"/>
        </w:rPr>
        <w:t>管理费、</w:t>
      </w:r>
      <w:r>
        <w:rPr>
          <w:rFonts w:hint="eastAsia"/>
          <w:bCs/>
          <w:sz w:val="24"/>
        </w:rPr>
        <w:t>基金</w:t>
      </w:r>
      <w:r>
        <w:rPr>
          <w:bCs/>
          <w:sz w:val="24"/>
        </w:rPr>
        <w:t>托管费</w:t>
      </w:r>
      <w:r>
        <w:rPr>
          <w:rFonts w:hint="eastAsia"/>
          <w:bCs/>
          <w:sz w:val="24"/>
        </w:rPr>
        <w:t>、销售服务费、申购费、赎回费</w:t>
      </w:r>
      <w:r>
        <w:rPr>
          <w:bCs/>
          <w:sz w:val="24"/>
        </w:rPr>
        <w:t>等费用计提标准、计提方式和费率发生变更；</w:t>
      </w:r>
    </w:p>
    <w:p w14:paraId="7A002034">
      <w:pPr>
        <w:spacing w:line="360" w:lineRule="auto"/>
        <w:ind w:firstLine="480" w:firstLineChars="200"/>
        <w:rPr>
          <w:bCs/>
          <w:sz w:val="24"/>
        </w:rPr>
      </w:pPr>
      <w:r>
        <w:rPr>
          <w:bCs/>
          <w:sz w:val="24"/>
        </w:rPr>
        <w:t>16、</w:t>
      </w:r>
      <w:r>
        <w:rPr>
          <w:rFonts w:hint="eastAsia"/>
          <w:bCs/>
          <w:sz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14:paraId="71E06D43">
      <w:pPr>
        <w:spacing w:line="360" w:lineRule="auto"/>
        <w:ind w:firstLine="480" w:firstLineChars="200"/>
        <w:rPr>
          <w:bCs/>
          <w:sz w:val="24"/>
        </w:rPr>
      </w:pPr>
      <w:r>
        <w:rPr>
          <w:rFonts w:hint="eastAsia"/>
          <w:bCs/>
          <w:sz w:val="24"/>
        </w:rPr>
        <w:t>1</w:t>
      </w:r>
      <w:r>
        <w:rPr>
          <w:bCs/>
          <w:sz w:val="24"/>
        </w:rPr>
        <w:t>7、本基金开始办理申购、赎回；</w:t>
      </w:r>
    </w:p>
    <w:p w14:paraId="49CCA5A4">
      <w:pPr>
        <w:spacing w:line="360" w:lineRule="auto"/>
        <w:ind w:firstLine="480" w:firstLineChars="200"/>
        <w:rPr>
          <w:bCs/>
          <w:sz w:val="24"/>
        </w:rPr>
      </w:pPr>
      <w:r>
        <w:rPr>
          <w:rFonts w:hint="eastAsia"/>
          <w:bCs/>
          <w:sz w:val="24"/>
        </w:rPr>
        <w:t>1</w:t>
      </w:r>
      <w:r>
        <w:rPr>
          <w:bCs/>
          <w:sz w:val="24"/>
        </w:rPr>
        <w:t>8、本基金发生巨额赎回并延期</w:t>
      </w:r>
      <w:r>
        <w:rPr>
          <w:rFonts w:hint="eastAsia"/>
          <w:bCs/>
          <w:sz w:val="24"/>
        </w:rPr>
        <w:t>办理</w:t>
      </w:r>
      <w:r>
        <w:rPr>
          <w:bCs/>
          <w:sz w:val="24"/>
        </w:rPr>
        <w:t>；</w:t>
      </w:r>
    </w:p>
    <w:p w14:paraId="4AFB599F">
      <w:pPr>
        <w:spacing w:line="360" w:lineRule="auto"/>
        <w:ind w:firstLine="480" w:firstLineChars="200"/>
        <w:rPr>
          <w:bCs/>
          <w:sz w:val="24"/>
        </w:rPr>
      </w:pPr>
      <w:r>
        <w:rPr>
          <w:bCs/>
          <w:sz w:val="24"/>
        </w:rPr>
        <w:t>19、本基金连续发生巨额赎回并暂停接受赎回申请</w:t>
      </w:r>
      <w:r>
        <w:rPr>
          <w:rFonts w:hint="eastAsia"/>
          <w:bCs/>
          <w:sz w:val="24"/>
        </w:rPr>
        <w:t>或延缓支付赎回款项</w:t>
      </w:r>
      <w:r>
        <w:rPr>
          <w:bCs/>
          <w:sz w:val="24"/>
        </w:rPr>
        <w:t>；</w:t>
      </w:r>
    </w:p>
    <w:p w14:paraId="27AA08D2">
      <w:pPr>
        <w:spacing w:line="360" w:lineRule="auto"/>
        <w:ind w:firstLine="480" w:firstLineChars="200"/>
        <w:rPr>
          <w:bCs/>
          <w:sz w:val="24"/>
        </w:rPr>
      </w:pPr>
      <w:r>
        <w:rPr>
          <w:rFonts w:hint="eastAsia"/>
          <w:bCs/>
          <w:sz w:val="24"/>
        </w:rPr>
        <w:t>2</w:t>
      </w:r>
      <w:r>
        <w:rPr>
          <w:bCs/>
          <w:sz w:val="24"/>
        </w:rPr>
        <w:t>0、本基金暂停接受申购、赎回申请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412134E2">
      <w:pPr>
        <w:spacing w:line="360" w:lineRule="auto"/>
        <w:ind w:firstLine="480" w:firstLineChars="200"/>
        <w:rPr>
          <w:bCs/>
          <w:sz w:val="24"/>
        </w:rPr>
      </w:pPr>
      <w:r>
        <w:rPr>
          <w:rFonts w:hint="eastAsia"/>
          <w:bCs/>
          <w:sz w:val="24"/>
        </w:rPr>
        <w:t>2</w:t>
      </w:r>
      <w:r>
        <w:rPr>
          <w:bCs/>
          <w:sz w:val="24"/>
        </w:rPr>
        <w:t>1、</w:t>
      </w:r>
      <w:r>
        <w:rPr>
          <w:rFonts w:hint="eastAsia"/>
          <w:bCs/>
          <w:sz w:val="24"/>
        </w:rPr>
        <w:t>本基金发生涉及基金申购、赎回事项调整或潜在影响投资者赎回等重大事项时；</w:t>
      </w:r>
    </w:p>
    <w:p w14:paraId="31F69EB7">
      <w:pPr>
        <w:spacing w:line="360" w:lineRule="auto"/>
        <w:ind w:firstLine="480" w:firstLineChars="200"/>
        <w:rPr>
          <w:bCs/>
          <w:sz w:val="24"/>
        </w:rPr>
      </w:pPr>
      <w:r>
        <w:rPr>
          <w:rFonts w:hint="eastAsia"/>
          <w:bCs/>
          <w:sz w:val="24"/>
        </w:rPr>
        <w:t>2</w:t>
      </w:r>
      <w:r>
        <w:rPr>
          <w:bCs/>
          <w:sz w:val="24"/>
        </w:rPr>
        <w:t>2</w:t>
      </w:r>
      <w:r>
        <w:rPr>
          <w:rFonts w:hint="eastAsia"/>
          <w:bCs/>
          <w:sz w:val="24"/>
        </w:rPr>
        <w:t>、本基金推出新业务或服务；</w:t>
      </w:r>
    </w:p>
    <w:p w14:paraId="5D339970">
      <w:pPr>
        <w:spacing w:line="360" w:lineRule="auto"/>
        <w:ind w:firstLine="480" w:firstLineChars="200"/>
        <w:rPr>
          <w:bCs/>
          <w:sz w:val="24"/>
          <w:szCs w:val="24"/>
        </w:rPr>
      </w:pPr>
      <w:r>
        <w:rPr>
          <w:rFonts w:hint="eastAsia"/>
          <w:bCs/>
          <w:sz w:val="24"/>
          <w:szCs w:val="24"/>
        </w:rPr>
        <w:t>2</w:t>
      </w:r>
      <w:r>
        <w:rPr>
          <w:bCs/>
          <w:sz w:val="24"/>
          <w:szCs w:val="24"/>
        </w:rPr>
        <w:t>3</w:t>
      </w:r>
      <w:r>
        <w:rPr>
          <w:rFonts w:hint="eastAsia" w:ascii="宋体" w:hAnsi="宋体"/>
          <w:bCs/>
          <w:sz w:val="24"/>
          <w:szCs w:val="24"/>
        </w:rPr>
        <w:t>、调整本基金份额类别设置；</w:t>
      </w:r>
    </w:p>
    <w:p w14:paraId="1F92380E">
      <w:pPr>
        <w:spacing w:line="360" w:lineRule="auto"/>
        <w:ind w:firstLine="480" w:firstLineChars="200"/>
        <w:rPr>
          <w:bCs/>
          <w:sz w:val="24"/>
        </w:rPr>
      </w:pPr>
      <w:r>
        <w:rPr>
          <w:bCs/>
          <w:sz w:val="24"/>
        </w:rPr>
        <w:t>24、</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477D26CF">
      <w:pPr>
        <w:spacing w:line="360" w:lineRule="auto"/>
        <w:ind w:firstLine="480" w:firstLineChars="200"/>
        <w:rPr>
          <w:bCs/>
          <w:sz w:val="24"/>
        </w:rPr>
      </w:pPr>
      <w:r>
        <w:rPr>
          <w:bCs/>
          <w:sz w:val="24"/>
        </w:rPr>
        <w:t>（八）澄清公告</w:t>
      </w:r>
    </w:p>
    <w:p w14:paraId="2746B61B">
      <w:pPr>
        <w:spacing w:line="360" w:lineRule="auto"/>
        <w:ind w:firstLine="480" w:firstLineChars="20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w:t>
      </w:r>
      <w:r>
        <w:rPr>
          <w:rFonts w:hint="eastAsia"/>
          <w:bCs/>
          <w:sz w:val="24"/>
        </w:rPr>
        <w:t>以及可能损害基金份额持有人权益的，</w:t>
      </w:r>
      <w:r>
        <w:rPr>
          <w:bCs/>
          <w:sz w:val="24"/>
        </w:rPr>
        <w:t>相关信息披露义务人知悉后应当立即对该消息进行公开澄清，并将有关情况立即报告中国证监会。</w:t>
      </w:r>
    </w:p>
    <w:p w14:paraId="5EC4FAA8">
      <w:pPr>
        <w:spacing w:line="360" w:lineRule="auto"/>
        <w:ind w:firstLine="480" w:firstLineChars="200"/>
        <w:rPr>
          <w:bCs/>
          <w:sz w:val="24"/>
        </w:rPr>
      </w:pPr>
      <w:r>
        <w:rPr>
          <w:bCs/>
          <w:sz w:val="24"/>
        </w:rPr>
        <w:t>（九）基金份额持有人大会决议</w:t>
      </w:r>
    </w:p>
    <w:p w14:paraId="45D0D87F">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14:paraId="780E5554">
      <w:pPr>
        <w:spacing w:line="360" w:lineRule="auto"/>
        <w:ind w:firstLine="480" w:firstLineChars="200"/>
        <w:rPr>
          <w:bCs/>
          <w:sz w:val="24"/>
        </w:rPr>
      </w:pPr>
      <w:r>
        <w:rPr>
          <w:bCs/>
          <w:sz w:val="24"/>
        </w:rPr>
        <w:t>（十）</w:t>
      </w:r>
      <w:r>
        <w:rPr>
          <w:rFonts w:hint="eastAsia"/>
          <w:bCs/>
          <w:sz w:val="24"/>
        </w:rPr>
        <w:t>清算报告</w:t>
      </w:r>
    </w:p>
    <w:p w14:paraId="58EC6582">
      <w:pPr>
        <w:spacing w:line="360" w:lineRule="auto"/>
        <w:ind w:firstLine="480" w:firstLineChars="200"/>
        <w:rPr>
          <w:bCs/>
          <w:sz w:val="24"/>
        </w:rPr>
      </w:pPr>
      <w:r>
        <w:rPr>
          <w:rFonts w:hint="eastAsia"/>
          <w:bCs/>
          <w:sz w:val="24"/>
        </w:rPr>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14:paraId="7FFF1EF0">
      <w:pPr>
        <w:spacing w:line="360" w:lineRule="auto"/>
        <w:ind w:firstLine="480" w:firstLineChars="200"/>
        <w:rPr>
          <w:bCs/>
          <w:sz w:val="24"/>
        </w:rPr>
      </w:pPr>
      <w:r>
        <w:rPr>
          <w:rFonts w:hint="eastAsia"/>
          <w:bCs/>
          <w:sz w:val="24"/>
        </w:rPr>
        <w:t>（十一）实施侧袋机制期间的信息披露</w:t>
      </w:r>
    </w:p>
    <w:p w14:paraId="7952E0E9">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14:paraId="7B8B3111">
      <w:pPr>
        <w:spacing w:line="360" w:lineRule="auto"/>
        <w:ind w:firstLine="480" w:firstLineChars="200"/>
        <w:rPr>
          <w:bCs/>
          <w:sz w:val="24"/>
        </w:rPr>
      </w:pPr>
      <w:r>
        <w:rPr>
          <w:bCs/>
          <w:sz w:val="24"/>
        </w:rPr>
        <w:t>（十</w:t>
      </w:r>
      <w:r>
        <w:rPr>
          <w:rFonts w:hint="eastAsia"/>
          <w:bCs/>
          <w:sz w:val="24"/>
        </w:rPr>
        <w:t>二</w:t>
      </w:r>
      <w:r>
        <w:rPr>
          <w:bCs/>
          <w:sz w:val="24"/>
        </w:rPr>
        <w:t>）</w:t>
      </w:r>
      <w:r>
        <w:rPr>
          <w:rFonts w:hint="eastAsia"/>
          <w:bCs/>
          <w:sz w:val="24"/>
        </w:rPr>
        <w:t>投资股指期货信息披露</w:t>
      </w:r>
    </w:p>
    <w:p w14:paraId="25E66512">
      <w:pPr>
        <w:spacing w:line="360" w:lineRule="auto"/>
        <w:ind w:firstLine="480" w:firstLineChars="200"/>
        <w:rPr>
          <w:bCs/>
          <w:sz w:val="24"/>
        </w:rPr>
      </w:pPr>
      <w:r>
        <w:rPr>
          <w:rFonts w:hint="eastAsia"/>
          <w:bCs/>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2C01BD0">
      <w:pPr>
        <w:spacing w:line="360" w:lineRule="auto"/>
        <w:ind w:firstLine="480" w:firstLineChars="200"/>
        <w:rPr>
          <w:bCs/>
          <w:sz w:val="24"/>
        </w:rPr>
      </w:pPr>
      <w:r>
        <w:rPr>
          <w:rFonts w:hint="eastAsia"/>
          <w:bCs/>
          <w:sz w:val="24"/>
        </w:rPr>
        <w:t>（十三）投资中小企业私募债信息披露</w:t>
      </w:r>
    </w:p>
    <w:p w14:paraId="6EF7BDD8">
      <w:pPr>
        <w:spacing w:line="360" w:lineRule="auto"/>
        <w:ind w:firstLine="480" w:firstLineChars="200"/>
        <w:rPr>
          <w:bCs/>
          <w:sz w:val="24"/>
        </w:rPr>
      </w:pPr>
      <w:r>
        <w:rPr>
          <w:rFonts w:hint="eastAsia"/>
          <w:bCs/>
          <w:sz w:val="24"/>
        </w:rPr>
        <w:t>基金管理人在本基金投资中小企业私募债券后两个交易日内，在中国证监会指定媒介披露所投资中小企业私募债券的名称、数量、期限、收益率等信息。</w:t>
      </w:r>
    </w:p>
    <w:p w14:paraId="313B0C05">
      <w:pPr>
        <w:spacing w:line="360" w:lineRule="auto"/>
        <w:ind w:firstLine="480" w:firstLineChars="200"/>
        <w:rPr>
          <w:bCs/>
          <w:sz w:val="24"/>
        </w:rPr>
      </w:pPr>
      <w:r>
        <w:rPr>
          <w:rFonts w:hint="eastAsia"/>
          <w:bCs/>
          <w:sz w:val="24"/>
        </w:rPr>
        <w:t>本基金应当在季度报告、中期报告、年度报告等定期报告和招募说明书（更新）等文件中披露中小企业私募债券的投资情况。</w:t>
      </w:r>
    </w:p>
    <w:p w14:paraId="4148DBBB">
      <w:pPr>
        <w:spacing w:line="360" w:lineRule="auto"/>
        <w:ind w:firstLine="480" w:firstLineChars="200"/>
        <w:rPr>
          <w:bCs/>
          <w:sz w:val="24"/>
        </w:rPr>
      </w:pPr>
      <w:r>
        <w:rPr>
          <w:rFonts w:hint="eastAsia"/>
          <w:bCs/>
          <w:sz w:val="24"/>
        </w:rPr>
        <w:t>（十四）投资资产支持证券信息披露</w:t>
      </w:r>
    </w:p>
    <w:p w14:paraId="23226C74">
      <w:pPr>
        <w:spacing w:line="360" w:lineRule="auto"/>
        <w:ind w:firstLine="480" w:firstLineChars="200"/>
        <w:rPr>
          <w:bCs/>
          <w:sz w:val="24"/>
        </w:rPr>
      </w:pPr>
      <w:r>
        <w:rPr>
          <w:rFonts w:hint="eastAsia"/>
          <w:bCs/>
          <w:sz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10名资产支持证券明细。</w:t>
      </w:r>
    </w:p>
    <w:p w14:paraId="7AA7579B">
      <w:pPr>
        <w:spacing w:line="360" w:lineRule="auto"/>
        <w:ind w:firstLine="480" w:firstLineChars="200"/>
        <w:rPr>
          <w:bCs/>
          <w:sz w:val="24"/>
        </w:rPr>
      </w:pPr>
      <w:r>
        <w:rPr>
          <w:rFonts w:hint="eastAsia"/>
          <w:bCs/>
          <w:sz w:val="24"/>
        </w:rPr>
        <w:t>（十五）本基金投资存托凭证的信息披露依照境内上市交易的股票执行。</w:t>
      </w:r>
    </w:p>
    <w:p w14:paraId="00D8E1BA">
      <w:pPr>
        <w:spacing w:line="360" w:lineRule="auto"/>
        <w:ind w:firstLine="480" w:firstLineChars="200"/>
        <w:rPr>
          <w:bCs/>
          <w:sz w:val="24"/>
        </w:rPr>
      </w:pPr>
      <w:r>
        <w:rPr>
          <w:rFonts w:hint="eastAsia"/>
          <w:bCs/>
          <w:sz w:val="24"/>
        </w:rPr>
        <w:t>（十六）</w:t>
      </w:r>
      <w:r>
        <w:rPr>
          <w:bCs/>
          <w:sz w:val="24"/>
        </w:rPr>
        <w:t>中国证监会规定的其他信息。</w:t>
      </w:r>
    </w:p>
    <w:p w14:paraId="1B585F56">
      <w:pPr>
        <w:spacing w:line="360" w:lineRule="auto"/>
        <w:ind w:firstLine="480" w:firstLineChars="200"/>
        <w:rPr>
          <w:bCs/>
          <w:sz w:val="24"/>
        </w:rPr>
      </w:pPr>
      <w:r>
        <w:rPr>
          <w:bCs/>
          <w:sz w:val="24"/>
        </w:rPr>
        <w:t>六、信息披露事务管理</w:t>
      </w:r>
    </w:p>
    <w:p w14:paraId="284E13A7">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5654AF7E">
      <w:pPr>
        <w:spacing w:line="360" w:lineRule="auto"/>
        <w:ind w:firstLine="480" w:firstLineChars="200"/>
        <w:rPr>
          <w:bCs/>
          <w:sz w:val="24"/>
        </w:rPr>
      </w:pPr>
      <w:r>
        <w:rPr>
          <w:rFonts w:hint="eastAsia"/>
          <w:bCs/>
          <w:sz w:val="24"/>
        </w:rPr>
        <w:t>基金管理人、基金托管人及相关从业人员不得泄露未公开披露的基金信息。</w:t>
      </w:r>
    </w:p>
    <w:p w14:paraId="09DD515A">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ascii="宋体"/>
          <w:bCs/>
          <w:sz w:val="24"/>
          <w:szCs w:val="24"/>
        </w:rPr>
        <w:t>等法规</w:t>
      </w:r>
      <w:r>
        <w:rPr>
          <w:bCs/>
          <w:sz w:val="24"/>
        </w:rPr>
        <w:t>的规定。</w:t>
      </w:r>
    </w:p>
    <w:p w14:paraId="0A8699F4">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68CCD837">
      <w:pPr>
        <w:spacing w:line="360" w:lineRule="auto"/>
        <w:ind w:firstLine="480" w:firstLineChars="20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p>
    <w:p w14:paraId="158FA720">
      <w:pPr>
        <w:spacing w:line="360" w:lineRule="auto"/>
        <w:ind w:firstLine="480" w:firstLineChars="200"/>
        <w:rPr>
          <w:bCs/>
          <w:sz w:val="24"/>
        </w:rPr>
      </w:pPr>
      <w:r>
        <w:rPr>
          <w:rFonts w:hint="eastAsia"/>
          <w:bCs/>
          <w:sz w:val="24"/>
        </w:rPr>
        <w:t>基金管理人、基金托管人应当向中国证监会基金电子披露网站报送拟披露的基金信息，并保证相关报送信息的真实、准确、完整、及时。</w:t>
      </w:r>
    </w:p>
    <w:p w14:paraId="430B34BE">
      <w:pPr>
        <w:spacing w:line="360" w:lineRule="auto"/>
        <w:ind w:firstLine="480" w:firstLineChars="20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1FF326C1">
      <w:pPr>
        <w:spacing w:line="360" w:lineRule="auto"/>
        <w:ind w:firstLine="480" w:firstLineChars="200"/>
        <w:rPr>
          <w:bCs/>
          <w:sz w:val="24"/>
        </w:rPr>
      </w:pPr>
      <w:r>
        <w:rPr>
          <w:rFonts w:hint="eastAsia" w:ascii="宋体"/>
          <w:sz w:val="24"/>
        </w:rPr>
        <w:t>基金管理人、基金托管人除</w:t>
      </w:r>
      <w:r>
        <w:rPr>
          <w:rFonts w:hint="eastAsia" w:ascii="宋体"/>
          <w:bCs/>
          <w:sz w:val="24"/>
          <w:szCs w:val="24"/>
        </w:rPr>
        <w:t>按法律法规要求</w:t>
      </w:r>
      <w:r>
        <w:rPr>
          <w:rFonts w:hint="eastAsia" w:ascii="宋体"/>
          <w:sz w:val="24"/>
        </w:rPr>
        <w:t>披露信息外，</w:t>
      </w:r>
      <w:r>
        <w:rPr>
          <w:rFonts w:hint="eastAsia" w:ascii="宋体"/>
          <w:bCs/>
          <w:sz w:val="24"/>
          <w:szCs w:val="24"/>
        </w:rPr>
        <w:t>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w:t>
      </w:r>
      <w:r>
        <w:rPr>
          <w:rFonts w:hint="eastAsia" w:ascii="宋体"/>
          <w:sz w:val="24"/>
        </w:rPr>
        <w:t>不得</w:t>
      </w:r>
      <w:r>
        <w:rPr>
          <w:rFonts w:hint="eastAsia" w:ascii="宋体"/>
          <w:bCs/>
          <w:sz w:val="24"/>
          <w:szCs w:val="24"/>
        </w:rPr>
        <w:t>从基金财产中列支</w:t>
      </w:r>
      <w:r>
        <w:rPr>
          <w:rFonts w:hint="eastAsia" w:ascii="宋体"/>
          <w:sz w:val="24"/>
        </w:rPr>
        <w:t>。</w:t>
      </w:r>
    </w:p>
    <w:p w14:paraId="4E2289C3">
      <w:pPr>
        <w:spacing w:line="360" w:lineRule="auto"/>
        <w:ind w:firstLine="480" w:firstLineChars="200"/>
        <w:rPr>
          <w:bCs/>
          <w:sz w:val="24"/>
        </w:rPr>
      </w:pPr>
      <w:r>
        <w:rPr>
          <w:bCs/>
          <w:sz w:val="24"/>
        </w:rPr>
        <w:t>基金管理人、基金托管人除依法在指定媒介上披露信息外，还可以根据需要在其他公共媒体披露信息，但是其他公共媒体不得早于指定媒介披露信息，并且在不同媒介上披露同一信息的内容应当一致。</w:t>
      </w:r>
    </w:p>
    <w:p w14:paraId="1E0BDAE7">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7D99A52">
      <w:pPr>
        <w:spacing w:line="360" w:lineRule="auto"/>
        <w:ind w:firstLine="480" w:firstLineChars="200"/>
        <w:rPr>
          <w:bCs/>
          <w:sz w:val="24"/>
        </w:rPr>
      </w:pPr>
      <w:r>
        <w:rPr>
          <w:bCs/>
          <w:sz w:val="24"/>
        </w:rPr>
        <w:t>七、信息披露文件的存放与查阅</w:t>
      </w:r>
    </w:p>
    <w:p w14:paraId="020223CB">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依法必须披露的信息发布后，基金管理人、基金托管人应当按照相关法律法规规定将信息置备于公司住所，以供社会公众查阅、复制。</w:t>
      </w:r>
    </w:p>
    <w:p w14:paraId="2723DAB8">
      <w:pPr>
        <w:spacing w:line="360" w:lineRule="auto"/>
        <w:ind w:firstLine="480" w:firstLineChars="200"/>
        <w:rPr>
          <w:bCs/>
          <w:sz w:val="24"/>
          <w:shd w:val="pct10" w:color="auto" w:fill="FFFFFF"/>
        </w:rPr>
      </w:pPr>
      <w:r>
        <w:rPr>
          <w:rFonts w:hint="eastAsia"/>
          <w:bCs/>
          <w:sz w:val="24"/>
        </w:rPr>
        <w:t>八、当出现下述情况时，基金管理人和基金托管人可暂停或延迟披露基金相关信息：</w:t>
      </w:r>
    </w:p>
    <w:p w14:paraId="258A92A0">
      <w:pPr>
        <w:spacing w:line="360" w:lineRule="auto"/>
        <w:ind w:firstLine="480" w:firstLineChars="200"/>
        <w:rPr>
          <w:bCs/>
          <w:sz w:val="24"/>
        </w:rPr>
      </w:pPr>
      <w:r>
        <w:rPr>
          <w:rFonts w:hint="eastAsia"/>
          <w:bCs/>
          <w:sz w:val="24"/>
        </w:rPr>
        <w:t>（1）不可抗力；</w:t>
      </w:r>
    </w:p>
    <w:p w14:paraId="5027BD12">
      <w:pPr>
        <w:spacing w:line="360" w:lineRule="auto"/>
        <w:ind w:firstLine="480" w:firstLineChars="200"/>
        <w:rPr>
          <w:bCs/>
          <w:sz w:val="24"/>
        </w:rPr>
      </w:pPr>
      <w:r>
        <w:rPr>
          <w:rFonts w:hint="eastAsia"/>
          <w:bCs/>
          <w:sz w:val="24"/>
        </w:rPr>
        <w:t>（2）基金投资所涉及的证券、期货交易市场遇法定节假日或因其他原因暂停营业时；</w:t>
      </w:r>
    </w:p>
    <w:p w14:paraId="1F8D372E">
      <w:pPr>
        <w:spacing w:line="360" w:lineRule="auto"/>
        <w:ind w:firstLine="480" w:firstLineChars="200"/>
        <w:rPr>
          <w:bCs/>
          <w:sz w:val="24"/>
        </w:rPr>
      </w:pPr>
      <w:r>
        <w:rPr>
          <w:rFonts w:hint="eastAsia"/>
          <w:bCs/>
          <w:sz w:val="24"/>
        </w:rPr>
        <w:t>（3）出现基金管理人认为属于会导致基金管理人不能出售或评估基金资产的紧急事故的任何情况；</w:t>
      </w:r>
    </w:p>
    <w:p w14:paraId="078A98CF">
      <w:pPr>
        <w:spacing w:line="360" w:lineRule="auto"/>
        <w:ind w:firstLine="480" w:firstLineChars="200"/>
        <w:rPr>
          <w:bCs/>
          <w:sz w:val="24"/>
        </w:rPr>
      </w:pPr>
      <w:r>
        <w:rPr>
          <w:rFonts w:hint="eastAsia"/>
          <w:bCs/>
          <w:sz w:val="24"/>
        </w:rPr>
        <w:t>（4）法律法规、《基金合同》或中国证监会规定的情况。</w:t>
      </w:r>
    </w:p>
    <w:p w14:paraId="6B150068">
      <w:pPr>
        <w:pStyle w:val="2"/>
        <w:spacing w:before="0" w:after="0"/>
        <w:jc w:val="center"/>
        <w:rPr>
          <w:rFonts w:ascii="Times New Roman"/>
          <w:color w:val="auto"/>
          <w:sz w:val="30"/>
        </w:rPr>
      </w:pPr>
      <w:r>
        <w:rPr>
          <w:rFonts w:ascii="Times New Roman"/>
          <w:b w:val="0"/>
          <w:bCs/>
          <w:color w:val="auto"/>
          <w:kern w:val="44"/>
          <w:sz w:val="21"/>
        </w:rPr>
        <w:br w:type="page"/>
      </w:r>
      <w:bookmarkStart w:id="380" w:name="_Toc8059"/>
      <w:bookmarkStart w:id="381" w:name="_Toc123112247"/>
      <w:bookmarkStart w:id="382" w:name="_Toc10006"/>
      <w:bookmarkStart w:id="383" w:name="_Toc29891"/>
      <w:bookmarkStart w:id="384" w:name="_Toc8049"/>
      <w:bookmarkStart w:id="385" w:name="_Toc7170"/>
      <w:bookmarkStart w:id="386" w:name="_Toc27464"/>
      <w:bookmarkStart w:id="387" w:name="_Toc11113"/>
      <w:bookmarkStart w:id="388" w:name="_Toc139991749"/>
      <w:bookmarkStart w:id="389" w:name="_Toc9005"/>
      <w:bookmarkStart w:id="390" w:name="_Toc98560364"/>
      <w:bookmarkStart w:id="391" w:name="_Toc123051465"/>
      <w:bookmarkStart w:id="392" w:name="_Toc25647"/>
      <w:bookmarkStart w:id="393" w:name="_Toc141703899"/>
      <w:bookmarkStart w:id="394" w:name="_Toc123102466"/>
      <w:bookmarkStart w:id="395" w:name="_Toc6237"/>
      <w:bookmarkStart w:id="396" w:name="_Toc22978"/>
      <w:r>
        <w:rPr>
          <w:rFonts w:ascii="Times New Roman"/>
          <w:color w:val="auto"/>
          <w:sz w:val="30"/>
        </w:rPr>
        <w:t xml:space="preserve">第十九部分  </w:t>
      </w:r>
      <w:bookmarkStart w:id="397" w:name="_Hlt88828593"/>
      <w:r>
        <w:rPr>
          <w:rFonts w:ascii="Times New Roman"/>
          <w:color w:val="auto"/>
          <w:sz w:val="30"/>
        </w:rPr>
        <w:t>基金合同</w:t>
      </w:r>
      <w:bookmarkEnd w:id="397"/>
      <w:r>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FBD935D">
      <w:pPr>
        <w:spacing w:line="360" w:lineRule="auto"/>
        <w:ind w:firstLine="480" w:firstLineChars="200"/>
        <w:rPr>
          <w:bCs/>
          <w:sz w:val="24"/>
        </w:rPr>
      </w:pPr>
    </w:p>
    <w:p w14:paraId="46CB1ABF">
      <w:pPr>
        <w:spacing w:line="360" w:lineRule="auto"/>
        <w:ind w:firstLine="480" w:firstLineChars="200"/>
        <w:rPr>
          <w:bCs/>
          <w:sz w:val="24"/>
        </w:rPr>
      </w:pPr>
      <w:bookmarkStart w:id="398" w:name="_Toc79392639"/>
      <w:r>
        <w:rPr>
          <w:bCs/>
          <w:sz w:val="24"/>
        </w:rPr>
        <w:t>一、《基金合同》的变更</w:t>
      </w:r>
      <w:bookmarkEnd w:id="398"/>
    </w:p>
    <w:p w14:paraId="78CDE18F">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D53126E">
      <w:pPr>
        <w:spacing w:line="360" w:lineRule="auto"/>
        <w:ind w:firstLine="480" w:firstLineChars="200"/>
        <w:rPr>
          <w:bCs/>
          <w:sz w:val="24"/>
        </w:rPr>
      </w:pPr>
      <w:r>
        <w:rPr>
          <w:rFonts w:hint="eastAsia"/>
          <w:bCs/>
          <w:sz w:val="24"/>
        </w:rPr>
        <w:t xml:space="preserve"> </w:t>
      </w:r>
      <w:r>
        <w:rPr>
          <w:bCs/>
          <w:sz w:val="24"/>
        </w:rPr>
        <w:t>2、关于《基金合同》变更的基金份额持有人大会决议</w:t>
      </w:r>
      <w:r>
        <w:rPr>
          <w:rFonts w:hint="eastAsia"/>
          <w:bCs/>
          <w:sz w:val="24"/>
        </w:rPr>
        <w:t>需报中国证监会备案</w:t>
      </w:r>
      <w:r>
        <w:rPr>
          <w:bCs/>
          <w:sz w:val="24"/>
        </w:rPr>
        <w:t>，自决议生效后</w:t>
      </w:r>
      <w:r>
        <w:rPr>
          <w:rFonts w:hint="eastAsia"/>
          <w:bCs/>
          <w:sz w:val="24"/>
        </w:rPr>
        <w:t>按规定</w:t>
      </w:r>
      <w:r>
        <w:rPr>
          <w:bCs/>
          <w:sz w:val="24"/>
        </w:rPr>
        <w:t>在指定媒介公告。</w:t>
      </w:r>
    </w:p>
    <w:p w14:paraId="46F6B398">
      <w:pPr>
        <w:spacing w:line="360" w:lineRule="auto"/>
        <w:ind w:firstLine="480" w:firstLineChars="200"/>
        <w:rPr>
          <w:bCs/>
          <w:sz w:val="24"/>
        </w:rPr>
      </w:pPr>
      <w:r>
        <w:rPr>
          <w:rFonts w:hint="eastAsia"/>
          <w:bCs/>
          <w:sz w:val="24"/>
        </w:rPr>
        <w:t>二、</w:t>
      </w:r>
      <w:r>
        <w:rPr>
          <w:bCs/>
          <w:sz w:val="24"/>
        </w:rPr>
        <w:t>《基金合同》的终止事由</w:t>
      </w:r>
    </w:p>
    <w:p w14:paraId="01549973">
      <w:pPr>
        <w:spacing w:line="360" w:lineRule="auto"/>
        <w:ind w:firstLine="480" w:firstLineChars="200"/>
        <w:rPr>
          <w:bCs/>
          <w:sz w:val="24"/>
        </w:rPr>
      </w:pPr>
      <w:r>
        <w:rPr>
          <w:bCs/>
          <w:sz w:val="24"/>
        </w:rPr>
        <w:t>有下列情形之一的，</w:t>
      </w:r>
      <w:r>
        <w:rPr>
          <w:rFonts w:hint="eastAsia"/>
          <w:bCs/>
          <w:sz w:val="24"/>
        </w:rPr>
        <w:t>并在履行相关程序后，</w:t>
      </w:r>
      <w:r>
        <w:rPr>
          <w:bCs/>
          <w:sz w:val="24"/>
        </w:rPr>
        <w:t>《基金合同》应当终止：</w:t>
      </w:r>
    </w:p>
    <w:p w14:paraId="258F9257">
      <w:pPr>
        <w:spacing w:line="360" w:lineRule="auto"/>
        <w:ind w:firstLine="480" w:firstLineChars="200"/>
        <w:rPr>
          <w:bCs/>
          <w:sz w:val="24"/>
        </w:rPr>
      </w:pPr>
      <w:r>
        <w:rPr>
          <w:bCs/>
          <w:sz w:val="24"/>
        </w:rPr>
        <w:t>1、基金份额持有人大会决定终止的；</w:t>
      </w:r>
    </w:p>
    <w:p w14:paraId="0FEDEAFA">
      <w:pPr>
        <w:spacing w:line="360" w:lineRule="auto"/>
        <w:ind w:firstLine="480" w:firstLineChars="200"/>
        <w:rPr>
          <w:bCs/>
          <w:sz w:val="24"/>
        </w:rPr>
      </w:pPr>
      <w:r>
        <w:rPr>
          <w:bCs/>
          <w:sz w:val="24"/>
        </w:rPr>
        <w:t>2、基金管理人、基金托管人职责终止，在6个月内没有新基金管理人、新基金托管人承接的；</w:t>
      </w:r>
    </w:p>
    <w:p w14:paraId="355C2FDB">
      <w:pPr>
        <w:spacing w:line="360" w:lineRule="auto"/>
        <w:ind w:firstLine="480" w:firstLineChars="200"/>
        <w:rPr>
          <w:bCs/>
          <w:sz w:val="24"/>
        </w:rPr>
      </w:pPr>
      <w:r>
        <w:rPr>
          <w:rFonts w:hint="eastAsia"/>
          <w:bCs/>
          <w:sz w:val="24"/>
        </w:rPr>
        <w:t>3</w:t>
      </w:r>
      <w:r>
        <w:rPr>
          <w:bCs/>
          <w:sz w:val="24"/>
        </w:rPr>
        <w:t>、《基金合同》约定的其他情形；</w:t>
      </w:r>
    </w:p>
    <w:p w14:paraId="2CA4BB24">
      <w:pPr>
        <w:spacing w:line="360" w:lineRule="auto"/>
        <w:ind w:firstLine="480" w:firstLineChars="200"/>
        <w:rPr>
          <w:bCs/>
          <w:sz w:val="24"/>
        </w:rPr>
      </w:pPr>
      <w:r>
        <w:rPr>
          <w:rFonts w:hint="eastAsia"/>
          <w:bCs/>
          <w:sz w:val="24"/>
        </w:rPr>
        <w:t>4</w:t>
      </w:r>
      <w:r>
        <w:rPr>
          <w:bCs/>
          <w:sz w:val="24"/>
        </w:rPr>
        <w:t>、相关法律法规和中国证监会规定的其他情况。</w:t>
      </w:r>
    </w:p>
    <w:p w14:paraId="46AC165A">
      <w:pPr>
        <w:spacing w:line="360" w:lineRule="auto"/>
        <w:ind w:firstLine="480" w:firstLineChars="200"/>
        <w:rPr>
          <w:bCs/>
          <w:sz w:val="24"/>
        </w:rPr>
      </w:pPr>
      <w:r>
        <w:rPr>
          <w:rFonts w:hint="eastAsia"/>
          <w:bCs/>
          <w:sz w:val="24"/>
        </w:rPr>
        <w:t>三</w:t>
      </w:r>
      <w:r>
        <w:rPr>
          <w:bCs/>
          <w:sz w:val="24"/>
        </w:rPr>
        <w:t>、基金财产的清算</w:t>
      </w:r>
    </w:p>
    <w:p w14:paraId="52E25AB7">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14:paraId="50BF02BC">
      <w:pPr>
        <w:spacing w:line="360" w:lineRule="auto"/>
        <w:ind w:firstLine="480" w:firstLineChars="200"/>
        <w:rPr>
          <w:bCs/>
          <w:sz w:val="24"/>
        </w:rPr>
      </w:pPr>
      <w:r>
        <w:rPr>
          <w:bCs/>
          <w:sz w:val="24"/>
        </w:rPr>
        <w:t>2、基金财产清算小组组成：基金财产清算小组成员由基金管理人、基金托管人、具有从事证券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14:paraId="4AD8C17C">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14:paraId="78838E0E">
      <w:pPr>
        <w:spacing w:line="360" w:lineRule="auto"/>
        <w:ind w:firstLine="480" w:firstLineChars="200"/>
        <w:rPr>
          <w:bCs/>
          <w:sz w:val="24"/>
        </w:rPr>
      </w:pPr>
      <w:r>
        <w:rPr>
          <w:bCs/>
          <w:sz w:val="24"/>
        </w:rPr>
        <w:t>4、基金财产清算程序：</w:t>
      </w:r>
    </w:p>
    <w:p w14:paraId="69EDB162">
      <w:pPr>
        <w:spacing w:line="360" w:lineRule="auto"/>
        <w:ind w:firstLine="480" w:firstLineChars="200"/>
        <w:rPr>
          <w:bCs/>
          <w:sz w:val="24"/>
        </w:rPr>
      </w:pPr>
      <w:r>
        <w:rPr>
          <w:bCs/>
          <w:sz w:val="24"/>
        </w:rPr>
        <w:t>（1）《基金合同》终止情形出现时，由基金财产清算小组统一接管基金；</w:t>
      </w:r>
    </w:p>
    <w:p w14:paraId="5EBAF802">
      <w:pPr>
        <w:spacing w:line="360" w:lineRule="auto"/>
        <w:ind w:firstLine="480" w:firstLineChars="200"/>
        <w:rPr>
          <w:bCs/>
          <w:sz w:val="24"/>
        </w:rPr>
      </w:pPr>
      <w:r>
        <w:rPr>
          <w:bCs/>
          <w:sz w:val="24"/>
        </w:rPr>
        <w:t>（2）对基金财产和债权债务进行清理和确认；</w:t>
      </w:r>
    </w:p>
    <w:p w14:paraId="45C944C9">
      <w:pPr>
        <w:spacing w:line="360" w:lineRule="auto"/>
        <w:ind w:firstLine="480" w:firstLineChars="200"/>
        <w:rPr>
          <w:bCs/>
          <w:sz w:val="24"/>
        </w:rPr>
      </w:pPr>
      <w:r>
        <w:rPr>
          <w:bCs/>
          <w:sz w:val="24"/>
        </w:rPr>
        <w:t>（3）对基金财产进行估值和变现；</w:t>
      </w:r>
    </w:p>
    <w:p w14:paraId="5560A79D">
      <w:pPr>
        <w:spacing w:line="360" w:lineRule="auto"/>
        <w:ind w:firstLine="480" w:firstLineChars="200"/>
        <w:rPr>
          <w:bCs/>
          <w:sz w:val="24"/>
        </w:rPr>
      </w:pPr>
      <w:r>
        <w:rPr>
          <w:bCs/>
          <w:sz w:val="24"/>
        </w:rPr>
        <w:t>（4）制作清算报告；</w:t>
      </w:r>
    </w:p>
    <w:p w14:paraId="780B0EA5">
      <w:pPr>
        <w:spacing w:line="360" w:lineRule="auto"/>
        <w:ind w:firstLine="480" w:firstLineChars="200"/>
        <w:rPr>
          <w:bCs/>
          <w:sz w:val="24"/>
        </w:rPr>
      </w:pPr>
      <w:r>
        <w:rPr>
          <w:bCs/>
          <w:sz w:val="24"/>
        </w:rPr>
        <w:t>（5）聘请会计师事务所对清算报告进行外部审计，聘请律师事务所对清算报告出具法律意见书；</w:t>
      </w:r>
    </w:p>
    <w:p w14:paraId="5B3DBD43">
      <w:pPr>
        <w:spacing w:line="360" w:lineRule="auto"/>
        <w:ind w:firstLine="480" w:firstLineChars="200"/>
        <w:rPr>
          <w:bCs/>
          <w:sz w:val="24"/>
        </w:rPr>
      </w:pPr>
      <w:r>
        <w:rPr>
          <w:bCs/>
          <w:sz w:val="24"/>
        </w:rPr>
        <w:t>（6）将清算报告报中国证监会备案并公告</w:t>
      </w:r>
      <w:r>
        <w:rPr>
          <w:rFonts w:hint="eastAsia"/>
          <w:bCs/>
          <w:sz w:val="24"/>
        </w:rPr>
        <w:t>；</w:t>
      </w:r>
    </w:p>
    <w:p w14:paraId="6A928DC7">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14:paraId="1355EE5A">
      <w:pPr>
        <w:spacing w:line="360" w:lineRule="auto"/>
        <w:ind w:firstLine="480" w:firstLineChars="200"/>
        <w:rPr>
          <w:bCs/>
          <w:sz w:val="24"/>
        </w:rPr>
      </w:pPr>
      <w:r>
        <w:rPr>
          <w:bCs/>
          <w:sz w:val="24"/>
        </w:rPr>
        <w:t>5、基金财产清算的期限为</w:t>
      </w:r>
      <w:r>
        <w:rPr>
          <w:rFonts w:hint="eastAsia"/>
          <w:bCs/>
          <w:sz w:val="24"/>
        </w:rPr>
        <w:t>6</w:t>
      </w:r>
      <w:r>
        <w:rPr>
          <w:bCs/>
          <w:sz w:val="24"/>
        </w:rPr>
        <w:t>个月。</w:t>
      </w:r>
    </w:p>
    <w:p w14:paraId="62A5AB1D">
      <w:pPr>
        <w:spacing w:line="360" w:lineRule="auto"/>
        <w:ind w:firstLine="480" w:firstLineChars="200"/>
        <w:rPr>
          <w:bCs/>
          <w:sz w:val="24"/>
        </w:rPr>
      </w:pPr>
      <w:r>
        <w:rPr>
          <w:rFonts w:hint="eastAsia"/>
          <w:bCs/>
          <w:sz w:val="24"/>
        </w:rPr>
        <w:t>四</w:t>
      </w:r>
      <w:r>
        <w:rPr>
          <w:bCs/>
          <w:sz w:val="24"/>
        </w:rPr>
        <w:t>、清算费用</w:t>
      </w:r>
    </w:p>
    <w:p w14:paraId="08A26F20">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14:paraId="5A8DCE34">
      <w:pPr>
        <w:spacing w:line="360" w:lineRule="auto"/>
        <w:ind w:firstLine="480" w:firstLineChars="200"/>
        <w:rPr>
          <w:bCs/>
          <w:sz w:val="24"/>
        </w:rPr>
      </w:pPr>
      <w:r>
        <w:rPr>
          <w:rFonts w:hint="eastAsia"/>
          <w:bCs/>
          <w:sz w:val="24"/>
        </w:rPr>
        <w:t>五</w:t>
      </w:r>
      <w:r>
        <w:rPr>
          <w:bCs/>
          <w:sz w:val="24"/>
        </w:rPr>
        <w:t>、基金财产清算剩余资产的分配</w:t>
      </w:r>
    </w:p>
    <w:p w14:paraId="0D2C87D8">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w:t>
      </w:r>
      <w:r>
        <w:rPr>
          <w:bCs/>
          <w:sz w:val="24"/>
        </w:rPr>
        <w:t>基金份额持有人持有的</w:t>
      </w:r>
      <w:r>
        <w:rPr>
          <w:rFonts w:hint="eastAsia"/>
          <w:bCs/>
          <w:sz w:val="24"/>
        </w:rPr>
        <w:t>相应类别的</w:t>
      </w:r>
      <w:r>
        <w:rPr>
          <w:bCs/>
          <w:sz w:val="24"/>
        </w:rPr>
        <w:t>基金份额比例进行分配。</w:t>
      </w:r>
    </w:p>
    <w:p w14:paraId="006432FA">
      <w:pPr>
        <w:spacing w:line="360" w:lineRule="auto"/>
        <w:ind w:firstLine="480" w:firstLineChars="200"/>
        <w:rPr>
          <w:bCs/>
          <w:sz w:val="24"/>
        </w:rPr>
      </w:pPr>
      <w:r>
        <w:rPr>
          <w:rFonts w:hint="eastAsia"/>
          <w:bCs/>
          <w:sz w:val="24"/>
        </w:rPr>
        <w:t>六</w:t>
      </w:r>
      <w:r>
        <w:rPr>
          <w:bCs/>
          <w:sz w:val="24"/>
        </w:rPr>
        <w:t>、基金财产清算的公告</w:t>
      </w:r>
    </w:p>
    <w:p w14:paraId="1F045B91">
      <w:pPr>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05398CBE">
      <w:pPr>
        <w:spacing w:line="360" w:lineRule="auto"/>
        <w:ind w:firstLine="480" w:firstLineChars="200"/>
        <w:rPr>
          <w:bCs/>
          <w:sz w:val="24"/>
        </w:rPr>
      </w:pPr>
      <w:r>
        <w:rPr>
          <w:rFonts w:hint="eastAsia"/>
          <w:bCs/>
          <w:sz w:val="24"/>
        </w:rPr>
        <w:t>七</w:t>
      </w:r>
      <w:r>
        <w:rPr>
          <w:bCs/>
          <w:sz w:val="24"/>
        </w:rPr>
        <w:t>、基金财产清算账册及文件的保存</w:t>
      </w:r>
    </w:p>
    <w:p w14:paraId="0BD90654">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14:paraId="1FD48BED">
      <w:pPr>
        <w:spacing w:line="360" w:lineRule="auto"/>
        <w:ind w:firstLine="480" w:firstLineChars="200"/>
        <w:rPr>
          <w:bCs/>
          <w:sz w:val="24"/>
        </w:rPr>
      </w:pPr>
    </w:p>
    <w:p w14:paraId="3808BA8C">
      <w:pPr>
        <w:pStyle w:val="2"/>
        <w:spacing w:before="0" w:after="0"/>
        <w:jc w:val="center"/>
        <w:rPr>
          <w:rFonts w:ascii="Times New Roman"/>
          <w:color w:val="auto"/>
          <w:sz w:val="30"/>
        </w:rPr>
      </w:pPr>
      <w:bookmarkStart w:id="399" w:name="_Toc123102467"/>
      <w:bookmarkStart w:id="400" w:name="_Toc79392641"/>
      <w:bookmarkStart w:id="401" w:name="_Toc123112248"/>
      <w:bookmarkStart w:id="402" w:name="_Toc48649720"/>
      <w:bookmarkStart w:id="403" w:name="_Toc123051466"/>
      <w:bookmarkStart w:id="404" w:name="_Toc98560365"/>
      <w:r>
        <w:rPr>
          <w:rFonts w:ascii="Times New Roman"/>
          <w:b w:val="0"/>
          <w:bCs/>
          <w:color w:val="auto"/>
        </w:rPr>
        <w:br w:type="page"/>
      </w:r>
      <w:bookmarkStart w:id="405" w:name="_Toc23022"/>
      <w:bookmarkStart w:id="406" w:name="_Toc13398"/>
      <w:bookmarkStart w:id="407" w:name="_Toc8710"/>
      <w:bookmarkStart w:id="408" w:name="_Toc139991750"/>
      <w:bookmarkStart w:id="409" w:name="_Toc30645"/>
      <w:bookmarkStart w:id="410" w:name="_Toc9708"/>
      <w:bookmarkStart w:id="411" w:name="_Toc12191"/>
      <w:bookmarkStart w:id="412" w:name="_Toc21240"/>
      <w:bookmarkStart w:id="413" w:name="_Toc7367"/>
      <w:bookmarkStart w:id="414" w:name="_Toc23166"/>
      <w:bookmarkStart w:id="415" w:name="_Toc141703901"/>
      <w:bookmarkStart w:id="416" w:name="_Toc27058"/>
      <w:bookmarkStart w:id="417" w:name="_Toc28549"/>
      <w:r>
        <w:rPr>
          <w:rFonts w:ascii="Times New Roman"/>
          <w:color w:val="auto"/>
          <w:sz w:val="30"/>
        </w:rPr>
        <w:t>第二十部分  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1E95038">
      <w:pPr>
        <w:spacing w:line="360" w:lineRule="auto"/>
        <w:ind w:firstLine="480" w:firstLineChars="200"/>
        <w:rPr>
          <w:bCs/>
          <w:sz w:val="24"/>
        </w:rPr>
      </w:pPr>
    </w:p>
    <w:p w14:paraId="2EB75980">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14:paraId="4AF13F38">
      <w:pPr>
        <w:spacing w:line="360" w:lineRule="auto"/>
        <w:ind w:firstLine="480" w:firstLineChars="200"/>
        <w:rPr>
          <w:bCs/>
          <w:sz w:val="24"/>
        </w:rPr>
      </w:pPr>
      <w:r>
        <w:rPr>
          <w:rFonts w:hint="eastAsia"/>
          <w:bCs/>
          <w:sz w:val="24"/>
        </w:rPr>
        <w:t>1、不可抗力；</w:t>
      </w:r>
    </w:p>
    <w:p w14:paraId="24131845">
      <w:pPr>
        <w:spacing w:line="360" w:lineRule="auto"/>
        <w:ind w:firstLine="480" w:firstLineChars="200"/>
        <w:rPr>
          <w:bCs/>
          <w:sz w:val="24"/>
        </w:rPr>
      </w:pPr>
      <w:r>
        <w:rPr>
          <w:rFonts w:hint="eastAsia"/>
          <w:bCs/>
          <w:sz w:val="24"/>
        </w:rPr>
        <w:t>2、基金管理人及基金托管人按照当时有效的法律法规或中国证监会的规定作为或不作为而造成的损失等；</w:t>
      </w:r>
    </w:p>
    <w:p w14:paraId="0B96C924">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14:paraId="32AF14CA">
      <w:pPr>
        <w:spacing w:line="360" w:lineRule="auto"/>
        <w:ind w:firstLine="480" w:firstLineChars="200"/>
        <w:rPr>
          <w:bCs/>
          <w:sz w:val="24"/>
        </w:rPr>
      </w:pPr>
      <w:r>
        <w:rPr>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01BD5165">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56E83228">
      <w:pPr>
        <w:spacing w:line="360" w:lineRule="auto"/>
        <w:ind w:firstLine="480" w:firstLineChars="200"/>
        <w:rPr>
          <w:bCs/>
          <w:sz w:val="24"/>
        </w:rPr>
      </w:pPr>
    </w:p>
    <w:p w14:paraId="24D917A7">
      <w:pPr>
        <w:spacing w:line="360" w:lineRule="auto"/>
        <w:ind w:firstLine="480" w:firstLineChars="200"/>
        <w:rPr>
          <w:bCs/>
          <w:sz w:val="24"/>
        </w:rPr>
      </w:pPr>
    </w:p>
    <w:p w14:paraId="376D3A75">
      <w:pPr>
        <w:spacing w:line="360" w:lineRule="auto"/>
        <w:ind w:firstLine="480" w:firstLineChars="200"/>
        <w:rPr>
          <w:bCs/>
          <w:sz w:val="24"/>
        </w:rPr>
      </w:pPr>
    </w:p>
    <w:p w14:paraId="74687DB5">
      <w:pPr>
        <w:spacing w:line="360" w:lineRule="auto"/>
        <w:ind w:firstLine="480" w:firstLineChars="200"/>
        <w:rPr>
          <w:bCs/>
          <w:sz w:val="24"/>
        </w:rPr>
      </w:pPr>
    </w:p>
    <w:p w14:paraId="67AB7579">
      <w:pPr>
        <w:pStyle w:val="2"/>
        <w:spacing w:before="0" w:after="0"/>
        <w:jc w:val="center"/>
        <w:rPr>
          <w:rFonts w:ascii="Times New Roman"/>
          <w:color w:val="auto"/>
          <w:sz w:val="30"/>
        </w:rPr>
      </w:pPr>
      <w:r>
        <w:rPr>
          <w:rFonts w:ascii="Times New Roman"/>
          <w:b w:val="0"/>
          <w:bCs/>
          <w:color w:val="auto"/>
        </w:rPr>
        <w:br w:type="page"/>
      </w:r>
      <w:bookmarkStart w:id="418" w:name="_Toc30350"/>
      <w:bookmarkStart w:id="419" w:name="_Toc1790"/>
      <w:bookmarkStart w:id="420" w:name="_Toc21983"/>
      <w:bookmarkStart w:id="421" w:name="_Toc23999"/>
      <w:bookmarkStart w:id="422" w:name="_Toc141703902"/>
      <w:bookmarkStart w:id="423" w:name="_Toc139991751"/>
      <w:bookmarkStart w:id="424" w:name="_Toc98560366"/>
      <w:bookmarkStart w:id="425" w:name="_Toc123112249"/>
      <w:bookmarkStart w:id="426" w:name="_Toc3319"/>
      <w:bookmarkStart w:id="427" w:name="_Toc8636"/>
      <w:bookmarkStart w:id="428" w:name="_Toc123051467"/>
      <w:bookmarkStart w:id="429" w:name="_Toc123102468"/>
      <w:bookmarkStart w:id="430" w:name="_Toc6110"/>
      <w:bookmarkStart w:id="431" w:name="_Toc24923"/>
      <w:bookmarkStart w:id="432" w:name="_Toc7288"/>
      <w:bookmarkStart w:id="433" w:name="_Toc25651"/>
      <w:bookmarkStart w:id="434" w:name="_Toc6202"/>
      <w:r>
        <w:rPr>
          <w:rFonts w:ascii="Times New Roman"/>
          <w:color w:val="auto"/>
          <w:sz w:val="30"/>
        </w:rPr>
        <w:t>第二十一部分  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7C69260">
      <w:pPr>
        <w:spacing w:line="360" w:lineRule="auto"/>
        <w:ind w:firstLine="480" w:firstLineChars="200"/>
        <w:rPr>
          <w:bCs/>
          <w:sz w:val="24"/>
        </w:rPr>
      </w:pPr>
    </w:p>
    <w:p w14:paraId="57EA4A89">
      <w:pPr>
        <w:spacing w:line="360" w:lineRule="auto"/>
        <w:ind w:firstLine="480" w:firstLineChars="200"/>
        <w:rPr>
          <w:bCs/>
          <w:sz w:val="24"/>
        </w:rPr>
      </w:pPr>
      <w:r>
        <w:rPr>
          <w:bCs/>
          <w:sz w:val="24"/>
        </w:rPr>
        <w:t>各方当事人同意，因《基金合同》而产生的或与《基金合同》有关的一切争议，如经友好协商未能解决的，应提交</w:t>
      </w:r>
      <w:r>
        <w:rPr>
          <w:rFonts w:hint="eastAsia" w:ascii="宋体" w:hAnsi="宋体"/>
          <w:sz w:val="24"/>
        </w:rPr>
        <w:t>中国国际经济贸易仲裁委员会根据该会当时有效的仲裁规则进行仲裁，仲裁地点为北京，仲裁裁决是终局性的并对各方当事人具有约束力，仲裁费</w:t>
      </w:r>
      <w:r>
        <w:rPr>
          <w:rFonts w:hint="eastAsia" w:ascii="宋体" w:hAnsi="宋体"/>
          <w:bCs/>
          <w:sz w:val="24"/>
        </w:rPr>
        <w:t>、律师费用</w:t>
      </w:r>
      <w:r>
        <w:rPr>
          <w:rFonts w:hint="eastAsia" w:ascii="宋体" w:hAnsi="宋体"/>
          <w:sz w:val="24"/>
        </w:rPr>
        <w:t>由败诉方承担。</w:t>
      </w:r>
    </w:p>
    <w:p w14:paraId="523A458E">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14:paraId="208B45FC">
      <w:pPr>
        <w:spacing w:line="360" w:lineRule="auto"/>
        <w:ind w:firstLine="480" w:firstLineChars="200"/>
        <w:rPr>
          <w:bCs/>
          <w:sz w:val="24"/>
        </w:rPr>
      </w:pPr>
      <w:r>
        <w:rPr>
          <w:bCs/>
          <w:sz w:val="24"/>
        </w:rPr>
        <w:t>《基金合同》受中国法律管辖。</w:t>
      </w:r>
    </w:p>
    <w:p w14:paraId="1A088F85">
      <w:pPr>
        <w:spacing w:line="360" w:lineRule="auto"/>
        <w:ind w:firstLine="480" w:firstLineChars="200"/>
        <w:rPr>
          <w:bCs/>
          <w:sz w:val="24"/>
        </w:rPr>
      </w:pPr>
    </w:p>
    <w:p w14:paraId="557692EB">
      <w:pPr>
        <w:pStyle w:val="2"/>
        <w:spacing w:before="0" w:after="0"/>
        <w:jc w:val="center"/>
        <w:rPr>
          <w:rFonts w:ascii="Times New Roman"/>
          <w:color w:val="auto"/>
          <w:sz w:val="30"/>
        </w:rPr>
      </w:pPr>
      <w:bookmarkStart w:id="435" w:name="_Toc484"/>
      <w:bookmarkStart w:id="436" w:name="_Toc31966"/>
      <w:bookmarkStart w:id="437" w:name="_Toc26461"/>
      <w:bookmarkStart w:id="438" w:name="_Toc23991"/>
      <w:bookmarkStart w:id="439" w:name="_Toc141703903"/>
      <w:bookmarkStart w:id="440" w:name="_Toc28690"/>
      <w:bookmarkStart w:id="441" w:name="_Toc11618"/>
      <w:bookmarkStart w:id="442" w:name="_Toc2532"/>
      <w:bookmarkStart w:id="443" w:name="_Toc123112250"/>
      <w:bookmarkStart w:id="444" w:name="_Toc123102469"/>
      <w:bookmarkStart w:id="445" w:name="_Toc20350"/>
      <w:bookmarkStart w:id="446" w:name="_Toc139991752"/>
      <w:bookmarkStart w:id="447" w:name="_Toc29505"/>
      <w:bookmarkStart w:id="448" w:name="_Toc123051468"/>
      <w:bookmarkStart w:id="449" w:name="_Toc8454"/>
      <w:bookmarkStart w:id="450" w:name="_Toc8703"/>
      <w:r>
        <w:rPr>
          <w:rFonts w:ascii="Times New Roman"/>
          <w:color w:val="auto"/>
          <w:sz w:val="30"/>
        </w:rPr>
        <w:t>第二十二部分  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0EF24A7">
      <w:pPr>
        <w:spacing w:line="360" w:lineRule="auto"/>
        <w:ind w:firstLine="480" w:firstLineChars="200"/>
        <w:rPr>
          <w:bCs/>
          <w:sz w:val="24"/>
        </w:rPr>
      </w:pPr>
    </w:p>
    <w:p w14:paraId="315DE7FF">
      <w:pPr>
        <w:spacing w:line="360" w:lineRule="auto"/>
        <w:ind w:firstLine="480" w:firstLineChars="200"/>
        <w:rPr>
          <w:bCs/>
          <w:sz w:val="24"/>
        </w:rPr>
      </w:pPr>
      <w:r>
        <w:rPr>
          <w:bCs/>
          <w:sz w:val="24"/>
        </w:rPr>
        <w:t>《基金合同》是约定基金当事人之间、基金与基金当事人之间权利义务关系的法律文件。</w:t>
      </w:r>
    </w:p>
    <w:p w14:paraId="7A99E67E">
      <w:pPr>
        <w:spacing w:line="360" w:lineRule="auto"/>
        <w:ind w:firstLine="480" w:firstLineChars="200"/>
        <w:rPr>
          <w:bCs/>
          <w:sz w:val="24"/>
        </w:rPr>
      </w:pPr>
      <w:r>
        <w:rPr>
          <w:bCs/>
          <w:sz w:val="24"/>
        </w:rPr>
        <w:t>1、《基金合同》经基金管理人、基金托管人双方盖章以及双方法定代表人或授权代表签字并在募集结束后经基金管理人向中国证监会办理基金备案手续，并经中国证监会书面确认后生效。</w:t>
      </w:r>
    </w:p>
    <w:p w14:paraId="7D2C6D33">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14:paraId="2C66406E">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14:paraId="69C27C06">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14:paraId="651CD7A1">
      <w:pPr>
        <w:spacing w:line="360" w:lineRule="auto"/>
        <w:ind w:firstLine="480" w:firstLineChars="200"/>
        <w:rPr>
          <w:bCs/>
          <w:sz w:val="24"/>
        </w:rPr>
      </w:pPr>
      <w:r>
        <w:rPr>
          <w:bCs/>
          <w:sz w:val="24"/>
        </w:rPr>
        <w:t>5、《基金合同》可印制成册，供投资者在基金管理人、基金托管人、销售机构的办公场所和营业场所查阅。</w:t>
      </w:r>
    </w:p>
    <w:p w14:paraId="1E893972">
      <w:pPr>
        <w:pStyle w:val="2"/>
        <w:spacing w:before="0" w:after="0"/>
        <w:jc w:val="center"/>
        <w:rPr>
          <w:rFonts w:ascii="Times New Roman"/>
          <w:color w:val="auto"/>
          <w:sz w:val="30"/>
        </w:rPr>
      </w:pPr>
      <w:r>
        <w:rPr>
          <w:rFonts w:ascii="Times New Roman"/>
          <w:b w:val="0"/>
          <w:bCs/>
          <w:color w:val="auto"/>
        </w:rPr>
        <w:br w:type="page"/>
      </w:r>
      <w:bookmarkStart w:id="451" w:name="_Toc21726"/>
      <w:bookmarkStart w:id="452" w:name="_Toc9704"/>
      <w:r>
        <w:rPr>
          <w:rFonts w:hint="eastAsia" w:ascii="Times New Roman"/>
          <w:color w:val="auto"/>
          <w:sz w:val="30"/>
        </w:rPr>
        <w:t>第二十三部分  其他事项</w:t>
      </w:r>
      <w:bookmarkEnd w:id="451"/>
      <w:bookmarkEnd w:id="452"/>
    </w:p>
    <w:p w14:paraId="116D8ADB">
      <w:pPr>
        <w:spacing w:line="360" w:lineRule="auto"/>
        <w:ind w:firstLine="480" w:firstLineChars="200"/>
        <w:rPr>
          <w:rFonts w:ascii="宋体" w:hAnsi="宋体"/>
          <w:sz w:val="24"/>
        </w:rPr>
      </w:pPr>
    </w:p>
    <w:p w14:paraId="3274AF21">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p w14:paraId="416F47F9">
      <w:pPr>
        <w:spacing w:line="360" w:lineRule="auto"/>
        <w:ind w:firstLine="480" w:firstLineChars="200"/>
        <w:rPr>
          <w:rFonts w:ascii="宋体" w:hAnsi="宋体"/>
          <w:sz w:val="24"/>
        </w:rPr>
      </w:pPr>
    </w:p>
    <w:p w14:paraId="65290421">
      <w:pPr>
        <w:pStyle w:val="2"/>
        <w:spacing w:before="0" w:after="0"/>
        <w:jc w:val="center"/>
        <w:rPr>
          <w:rFonts w:ascii="Times New Roman"/>
          <w:color w:val="auto"/>
          <w:sz w:val="30"/>
        </w:rPr>
      </w:pPr>
      <w:bookmarkStart w:id="453" w:name="_Toc15664"/>
      <w:bookmarkStart w:id="454" w:name="_Toc1360"/>
      <w:bookmarkStart w:id="455" w:name="_Toc17263"/>
      <w:bookmarkStart w:id="456" w:name="_Toc7437"/>
      <w:bookmarkStart w:id="457" w:name="_Toc15045"/>
      <w:bookmarkStart w:id="458" w:name="_Toc5108"/>
      <w:bookmarkStart w:id="459" w:name="_Toc32355"/>
      <w:bookmarkStart w:id="460" w:name="_Toc9054"/>
      <w:bookmarkStart w:id="461" w:name="_Toc12499"/>
      <w:bookmarkStart w:id="462" w:name="_Toc20098"/>
      <w:bookmarkStart w:id="463" w:name="_Toc21122"/>
      <w:bookmarkStart w:id="464" w:name="_Toc141703905"/>
      <w:r>
        <w:rPr>
          <w:rFonts w:ascii="Times New Roman"/>
          <w:color w:val="auto"/>
          <w:sz w:val="30"/>
        </w:rPr>
        <w:t>第二十四部分  基金合同内容摘要</w:t>
      </w:r>
      <w:bookmarkEnd w:id="71"/>
      <w:bookmarkEnd w:id="72"/>
      <w:bookmarkEnd w:id="453"/>
      <w:bookmarkEnd w:id="454"/>
      <w:bookmarkEnd w:id="455"/>
      <w:bookmarkEnd w:id="456"/>
      <w:bookmarkEnd w:id="457"/>
      <w:bookmarkEnd w:id="458"/>
      <w:bookmarkEnd w:id="459"/>
      <w:bookmarkEnd w:id="460"/>
      <w:bookmarkEnd w:id="461"/>
      <w:bookmarkEnd w:id="462"/>
      <w:bookmarkEnd w:id="463"/>
      <w:bookmarkEnd w:id="464"/>
    </w:p>
    <w:p w14:paraId="71905CAC">
      <w:pPr>
        <w:spacing w:line="360" w:lineRule="auto"/>
        <w:ind w:firstLine="480" w:firstLineChars="200"/>
        <w:rPr>
          <w:sz w:val="24"/>
          <w:szCs w:val="24"/>
        </w:rPr>
      </w:pPr>
      <w:r>
        <w:rPr>
          <w:rFonts w:hint="eastAsia"/>
          <w:sz w:val="24"/>
          <w:szCs w:val="24"/>
        </w:rPr>
        <w:t>一、基金份额持有人、基金管理人和基金托管人的权利、义务</w:t>
      </w:r>
    </w:p>
    <w:p w14:paraId="4A4027E6">
      <w:pPr>
        <w:spacing w:line="360" w:lineRule="auto"/>
        <w:ind w:firstLine="480" w:firstLineChars="200"/>
        <w:rPr>
          <w:sz w:val="24"/>
          <w:szCs w:val="24"/>
        </w:rPr>
      </w:pPr>
      <w:r>
        <w:rPr>
          <w:rFonts w:hint="eastAsia"/>
          <w:sz w:val="24"/>
          <w:szCs w:val="24"/>
        </w:rPr>
        <w:t>（一）基金份额持有人的权利、义务</w:t>
      </w:r>
    </w:p>
    <w:p w14:paraId="1A476E4F">
      <w:pPr>
        <w:spacing w:line="360" w:lineRule="auto"/>
        <w:ind w:firstLine="480" w:firstLineChars="200"/>
        <w:rPr>
          <w:bCs/>
          <w:sz w:val="24"/>
          <w:szCs w:val="24"/>
        </w:rPr>
      </w:pPr>
      <w:r>
        <w:rPr>
          <w:bCs/>
          <w:sz w:val="24"/>
          <w:szCs w:val="24"/>
        </w:rPr>
        <w:t>基金投资者</w:t>
      </w:r>
      <w:r>
        <w:rPr>
          <w:rFonts w:hint="eastAsia"/>
          <w:bCs/>
          <w:sz w:val="24"/>
          <w:szCs w:val="24"/>
        </w:rPr>
        <w:t>持有</w:t>
      </w:r>
      <w:r>
        <w:rPr>
          <w:bCs/>
          <w:sz w:val="24"/>
          <w:szCs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15F98AD">
      <w:pPr>
        <w:spacing w:line="360" w:lineRule="auto"/>
        <w:ind w:firstLine="480" w:firstLineChars="200"/>
        <w:rPr>
          <w:bCs/>
          <w:sz w:val="24"/>
          <w:szCs w:val="24"/>
        </w:rPr>
      </w:pPr>
      <w:r>
        <w:rPr>
          <w:rFonts w:hint="eastAsia"/>
          <w:bCs/>
          <w:sz w:val="24"/>
        </w:rPr>
        <w:t>除法律法规另有规定或本基金合同另有约定外，同一类别内</w:t>
      </w:r>
      <w:r>
        <w:rPr>
          <w:bCs/>
          <w:sz w:val="24"/>
          <w:szCs w:val="24"/>
        </w:rPr>
        <w:t>每份基金份额具有同等的合法权益。</w:t>
      </w:r>
    </w:p>
    <w:p w14:paraId="0B7105BC">
      <w:pPr>
        <w:spacing w:line="360" w:lineRule="auto"/>
        <w:ind w:firstLine="480" w:firstLineChars="200"/>
        <w:rPr>
          <w:bCs/>
          <w:sz w:val="24"/>
          <w:szCs w:val="24"/>
        </w:rPr>
      </w:pPr>
      <w:r>
        <w:rPr>
          <w:bCs/>
          <w:sz w:val="24"/>
          <w:szCs w:val="24"/>
        </w:rPr>
        <w:t>1、根据《基金法》、《运作办法》及其他有关规定，基金份额持有人的权利包括但不限于：</w:t>
      </w:r>
    </w:p>
    <w:p w14:paraId="09F5AB75">
      <w:pPr>
        <w:spacing w:line="360" w:lineRule="auto"/>
        <w:ind w:firstLine="480" w:firstLineChars="200"/>
        <w:rPr>
          <w:bCs/>
          <w:sz w:val="24"/>
          <w:szCs w:val="24"/>
        </w:rPr>
      </w:pPr>
      <w:r>
        <w:rPr>
          <w:bCs/>
          <w:sz w:val="24"/>
          <w:szCs w:val="24"/>
        </w:rPr>
        <w:t>（1）分享基金财产收益；</w:t>
      </w:r>
    </w:p>
    <w:p w14:paraId="30BF56C9">
      <w:pPr>
        <w:spacing w:line="360" w:lineRule="auto"/>
        <w:ind w:firstLine="480" w:firstLineChars="200"/>
        <w:rPr>
          <w:bCs/>
          <w:sz w:val="24"/>
          <w:szCs w:val="24"/>
        </w:rPr>
      </w:pPr>
      <w:r>
        <w:rPr>
          <w:bCs/>
          <w:sz w:val="24"/>
          <w:szCs w:val="24"/>
        </w:rPr>
        <w:t>（2）参与分配清算后的剩余基金财产；</w:t>
      </w:r>
    </w:p>
    <w:p w14:paraId="37712819">
      <w:pPr>
        <w:spacing w:line="360" w:lineRule="auto"/>
        <w:ind w:firstLine="480" w:firstLineChars="200"/>
        <w:rPr>
          <w:bCs/>
          <w:sz w:val="24"/>
          <w:szCs w:val="24"/>
        </w:rPr>
      </w:pPr>
      <w:r>
        <w:rPr>
          <w:bCs/>
          <w:sz w:val="24"/>
          <w:szCs w:val="24"/>
        </w:rPr>
        <w:t>（3）依法申请赎回其持有的基金份额；</w:t>
      </w:r>
    </w:p>
    <w:p w14:paraId="0B1C2113">
      <w:pPr>
        <w:spacing w:line="360" w:lineRule="auto"/>
        <w:ind w:firstLine="480" w:firstLineChars="200"/>
        <w:rPr>
          <w:bCs/>
          <w:sz w:val="24"/>
          <w:szCs w:val="24"/>
        </w:rPr>
      </w:pPr>
      <w:r>
        <w:rPr>
          <w:bCs/>
          <w:sz w:val="24"/>
          <w:szCs w:val="24"/>
        </w:rPr>
        <w:t>（4）按照规定要求召开基金份额持有人大会</w:t>
      </w:r>
      <w:r>
        <w:rPr>
          <w:rFonts w:hint="eastAsia"/>
          <w:bCs/>
          <w:sz w:val="24"/>
          <w:szCs w:val="24"/>
        </w:rPr>
        <w:t>或召集基金份额持有人大会</w:t>
      </w:r>
      <w:r>
        <w:rPr>
          <w:bCs/>
          <w:sz w:val="24"/>
          <w:szCs w:val="24"/>
        </w:rPr>
        <w:t>；</w:t>
      </w:r>
    </w:p>
    <w:p w14:paraId="512D8F26">
      <w:pPr>
        <w:spacing w:line="360" w:lineRule="auto"/>
        <w:ind w:firstLine="480" w:firstLineChars="200"/>
        <w:rPr>
          <w:bCs/>
          <w:sz w:val="24"/>
          <w:szCs w:val="24"/>
        </w:rPr>
      </w:pPr>
      <w:r>
        <w:rPr>
          <w:bCs/>
          <w:sz w:val="24"/>
          <w:szCs w:val="24"/>
        </w:rPr>
        <w:t>（5）出席或者委派代表出席基金份额持有人大会，对基金份额持有人大会审议事项行使表决权；</w:t>
      </w:r>
    </w:p>
    <w:p w14:paraId="5BD975F3">
      <w:pPr>
        <w:spacing w:line="360" w:lineRule="auto"/>
        <w:ind w:firstLine="480" w:firstLineChars="200"/>
        <w:rPr>
          <w:bCs/>
          <w:sz w:val="24"/>
          <w:szCs w:val="24"/>
        </w:rPr>
      </w:pPr>
      <w:r>
        <w:rPr>
          <w:bCs/>
          <w:sz w:val="24"/>
          <w:szCs w:val="24"/>
        </w:rPr>
        <w:t>（6）查阅或者复制公开披露的基金信息资料；</w:t>
      </w:r>
    </w:p>
    <w:p w14:paraId="408EE09E">
      <w:pPr>
        <w:spacing w:line="360" w:lineRule="auto"/>
        <w:ind w:firstLine="480" w:firstLineChars="200"/>
        <w:rPr>
          <w:bCs/>
          <w:sz w:val="24"/>
          <w:szCs w:val="24"/>
        </w:rPr>
      </w:pPr>
      <w:r>
        <w:rPr>
          <w:bCs/>
          <w:sz w:val="24"/>
          <w:szCs w:val="24"/>
        </w:rPr>
        <w:t>（7）监督基金管理人的投资运作；</w:t>
      </w:r>
    </w:p>
    <w:p w14:paraId="444BD21C">
      <w:pPr>
        <w:spacing w:line="360" w:lineRule="auto"/>
        <w:ind w:firstLine="480" w:firstLineChars="200"/>
        <w:rPr>
          <w:bCs/>
          <w:sz w:val="24"/>
          <w:szCs w:val="24"/>
        </w:rPr>
      </w:pPr>
      <w:r>
        <w:rPr>
          <w:bCs/>
          <w:sz w:val="24"/>
          <w:szCs w:val="24"/>
        </w:rPr>
        <w:t>（8）对基金管理人、基金托管人、基金</w:t>
      </w:r>
      <w:r>
        <w:rPr>
          <w:rFonts w:hint="eastAsia"/>
          <w:bCs/>
          <w:sz w:val="24"/>
          <w:szCs w:val="24"/>
        </w:rPr>
        <w:t>服务</w:t>
      </w:r>
      <w:r>
        <w:rPr>
          <w:bCs/>
          <w:sz w:val="24"/>
          <w:szCs w:val="24"/>
        </w:rPr>
        <w:t>机构损害其合法权益的行为依法提起诉讼或仲裁；</w:t>
      </w:r>
    </w:p>
    <w:p w14:paraId="2BC8454E">
      <w:pPr>
        <w:spacing w:line="360" w:lineRule="auto"/>
        <w:ind w:firstLine="480" w:firstLineChars="200"/>
        <w:rPr>
          <w:bCs/>
          <w:sz w:val="24"/>
          <w:szCs w:val="24"/>
        </w:rPr>
      </w:pPr>
      <w:r>
        <w:rPr>
          <w:bCs/>
          <w:sz w:val="24"/>
          <w:szCs w:val="24"/>
        </w:rPr>
        <w:t>（9）法律法规及中国证监会规定的和《基金合同》约定的其他权利。</w:t>
      </w:r>
    </w:p>
    <w:p w14:paraId="3D177F9A">
      <w:pPr>
        <w:spacing w:line="360" w:lineRule="auto"/>
        <w:ind w:firstLine="480" w:firstLineChars="200"/>
        <w:rPr>
          <w:bCs/>
          <w:sz w:val="24"/>
          <w:szCs w:val="24"/>
        </w:rPr>
      </w:pPr>
      <w:r>
        <w:rPr>
          <w:bCs/>
          <w:sz w:val="24"/>
          <w:szCs w:val="24"/>
        </w:rPr>
        <w:t>2、根据《基金法》、《运作办法》及其他有关规定，基金份额持有人的义务包括但不限于：</w:t>
      </w:r>
    </w:p>
    <w:p w14:paraId="49870E9C">
      <w:pPr>
        <w:spacing w:line="360" w:lineRule="auto"/>
        <w:ind w:firstLine="480" w:firstLineChars="200"/>
        <w:rPr>
          <w:bCs/>
          <w:sz w:val="24"/>
          <w:szCs w:val="24"/>
        </w:rPr>
      </w:pPr>
      <w:r>
        <w:rPr>
          <w:bCs/>
          <w:sz w:val="24"/>
          <w:szCs w:val="24"/>
        </w:rPr>
        <w:t>（1）认真阅读并遵守《基金合同》</w:t>
      </w:r>
      <w:r>
        <w:rPr>
          <w:rFonts w:hint="eastAsia"/>
          <w:bCs/>
          <w:sz w:val="24"/>
          <w:szCs w:val="24"/>
        </w:rPr>
        <w:t>、招募说明书等信息披露文件</w:t>
      </w:r>
      <w:r>
        <w:rPr>
          <w:bCs/>
          <w:sz w:val="24"/>
          <w:szCs w:val="24"/>
        </w:rPr>
        <w:t>；</w:t>
      </w:r>
    </w:p>
    <w:p w14:paraId="5D486471">
      <w:pPr>
        <w:spacing w:line="360" w:lineRule="auto"/>
        <w:ind w:firstLine="480" w:firstLineChars="200"/>
        <w:rPr>
          <w:bCs/>
          <w:sz w:val="24"/>
          <w:szCs w:val="24"/>
        </w:rPr>
      </w:pPr>
      <w:r>
        <w:rPr>
          <w:bCs/>
          <w:sz w:val="24"/>
          <w:szCs w:val="24"/>
        </w:rPr>
        <w:t>（2）了解所投资基金产品，了解自身风险承受能力，</w:t>
      </w:r>
      <w:r>
        <w:rPr>
          <w:rFonts w:hint="eastAsia"/>
          <w:bCs/>
          <w:sz w:val="24"/>
          <w:szCs w:val="24"/>
        </w:rPr>
        <w:t>自主判断基金的投资价值，自主做出投资决策，</w:t>
      </w:r>
      <w:r>
        <w:rPr>
          <w:bCs/>
          <w:sz w:val="24"/>
          <w:szCs w:val="24"/>
        </w:rPr>
        <w:t>自行承担投资风险；</w:t>
      </w:r>
    </w:p>
    <w:p w14:paraId="3D4220DD">
      <w:pPr>
        <w:spacing w:line="360" w:lineRule="auto"/>
        <w:ind w:firstLine="480" w:firstLineChars="200"/>
        <w:rPr>
          <w:bCs/>
          <w:sz w:val="24"/>
          <w:szCs w:val="24"/>
        </w:rPr>
      </w:pPr>
      <w:r>
        <w:rPr>
          <w:bCs/>
          <w:sz w:val="24"/>
          <w:szCs w:val="24"/>
        </w:rPr>
        <w:t>（3）关注基金信息披露，及时行使权利和履行义务；</w:t>
      </w:r>
    </w:p>
    <w:p w14:paraId="2CF381A6">
      <w:pPr>
        <w:spacing w:line="360" w:lineRule="auto"/>
        <w:ind w:firstLine="480" w:firstLineChars="200"/>
        <w:rPr>
          <w:bCs/>
          <w:sz w:val="24"/>
          <w:szCs w:val="24"/>
        </w:rPr>
      </w:pPr>
      <w:r>
        <w:rPr>
          <w:bCs/>
          <w:sz w:val="24"/>
          <w:szCs w:val="24"/>
        </w:rPr>
        <w:t>（4）缴纳基金认购、申购款项及法律法规和《基金合同》所规定的费用；</w:t>
      </w:r>
    </w:p>
    <w:p w14:paraId="14C17C19">
      <w:pPr>
        <w:spacing w:line="360" w:lineRule="auto"/>
        <w:ind w:firstLine="480" w:firstLineChars="200"/>
        <w:rPr>
          <w:bCs/>
          <w:sz w:val="24"/>
          <w:szCs w:val="24"/>
        </w:rPr>
      </w:pPr>
      <w:r>
        <w:rPr>
          <w:bCs/>
          <w:sz w:val="24"/>
          <w:szCs w:val="24"/>
        </w:rPr>
        <w:t>（5）在其持有的基金份额范围内，承担基金亏损或者《基金合同》终止的有限责任；</w:t>
      </w:r>
    </w:p>
    <w:p w14:paraId="5DC286CC">
      <w:pPr>
        <w:spacing w:line="360" w:lineRule="auto"/>
        <w:ind w:firstLine="480" w:firstLineChars="200"/>
        <w:rPr>
          <w:bCs/>
          <w:sz w:val="24"/>
          <w:szCs w:val="24"/>
        </w:rPr>
      </w:pPr>
      <w:r>
        <w:rPr>
          <w:bCs/>
          <w:sz w:val="24"/>
          <w:szCs w:val="24"/>
        </w:rPr>
        <w:t>（6）不从事任何有损基金及其他《基金合同》当事人合法权益的活动；</w:t>
      </w:r>
    </w:p>
    <w:p w14:paraId="0ABA3766">
      <w:pPr>
        <w:spacing w:line="360" w:lineRule="auto"/>
        <w:ind w:firstLine="480" w:firstLineChars="200"/>
        <w:rPr>
          <w:bCs/>
          <w:sz w:val="24"/>
          <w:szCs w:val="24"/>
        </w:rPr>
      </w:pPr>
      <w:r>
        <w:rPr>
          <w:bCs/>
          <w:sz w:val="24"/>
          <w:szCs w:val="24"/>
        </w:rPr>
        <w:t>（7）执行生效的基金份额持有人大会的</w:t>
      </w:r>
      <w:r>
        <w:rPr>
          <w:rFonts w:hint="eastAsia"/>
          <w:bCs/>
          <w:sz w:val="24"/>
          <w:szCs w:val="24"/>
        </w:rPr>
        <w:t>决议</w:t>
      </w:r>
      <w:r>
        <w:rPr>
          <w:bCs/>
          <w:sz w:val="24"/>
          <w:szCs w:val="24"/>
        </w:rPr>
        <w:t>；</w:t>
      </w:r>
    </w:p>
    <w:p w14:paraId="24EBFE20">
      <w:pPr>
        <w:spacing w:line="360" w:lineRule="auto"/>
        <w:ind w:firstLine="480" w:firstLineChars="200"/>
        <w:rPr>
          <w:bCs/>
          <w:sz w:val="24"/>
          <w:szCs w:val="24"/>
        </w:rPr>
      </w:pPr>
      <w:r>
        <w:rPr>
          <w:bCs/>
          <w:sz w:val="24"/>
          <w:szCs w:val="24"/>
        </w:rPr>
        <w:t>（8）返还在基金交易过程中因任何原因获得的不当得利；</w:t>
      </w:r>
    </w:p>
    <w:p w14:paraId="0C80E2B3">
      <w:pPr>
        <w:spacing w:line="360" w:lineRule="auto"/>
        <w:ind w:firstLine="480" w:firstLineChars="200"/>
        <w:rPr>
          <w:sz w:val="24"/>
          <w:szCs w:val="24"/>
        </w:rPr>
      </w:pPr>
      <w:r>
        <w:rPr>
          <w:bCs/>
          <w:sz w:val="24"/>
          <w:szCs w:val="24"/>
        </w:rPr>
        <w:t>（9）法律法规及中国证监会规定的和《基金合同》约定的其他义务。</w:t>
      </w:r>
    </w:p>
    <w:p w14:paraId="4785B509">
      <w:pPr>
        <w:spacing w:line="360" w:lineRule="auto"/>
        <w:ind w:firstLine="480" w:firstLineChars="200"/>
        <w:rPr>
          <w:sz w:val="24"/>
          <w:szCs w:val="24"/>
        </w:rPr>
      </w:pPr>
      <w:r>
        <w:rPr>
          <w:rFonts w:hint="eastAsia"/>
          <w:sz w:val="24"/>
          <w:szCs w:val="24"/>
        </w:rPr>
        <w:t>（二）基金管理人的权利、义务</w:t>
      </w:r>
    </w:p>
    <w:p w14:paraId="6F7EE319">
      <w:pPr>
        <w:spacing w:line="360" w:lineRule="auto"/>
        <w:ind w:firstLine="480" w:firstLineChars="200"/>
        <w:rPr>
          <w:bCs/>
          <w:sz w:val="24"/>
          <w:szCs w:val="24"/>
        </w:rPr>
      </w:pPr>
      <w:r>
        <w:rPr>
          <w:bCs/>
          <w:sz w:val="24"/>
          <w:szCs w:val="24"/>
        </w:rPr>
        <w:t>1、根据《基金法》、《运作办法》及其他有关规定，基金管理人的权利包括但不限于：</w:t>
      </w:r>
    </w:p>
    <w:p w14:paraId="71DB2533">
      <w:pPr>
        <w:spacing w:line="360" w:lineRule="auto"/>
        <w:ind w:firstLine="480" w:firstLineChars="200"/>
        <w:rPr>
          <w:bCs/>
          <w:sz w:val="24"/>
          <w:szCs w:val="24"/>
        </w:rPr>
      </w:pPr>
      <w:r>
        <w:rPr>
          <w:bCs/>
          <w:sz w:val="24"/>
          <w:szCs w:val="24"/>
        </w:rPr>
        <w:t>（1）依法募集</w:t>
      </w:r>
      <w:r>
        <w:rPr>
          <w:rFonts w:hint="eastAsia"/>
          <w:bCs/>
          <w:sz w:val="24"/>
          <w:szCs w:val="24"/>
        </w:rPr>
        <w:t>资金</w:t>
      </w:r>
      <w:r>
        <w:rPr>
          <w:bCs/>
          <w:sz w:val="24"/>
          <w:szCs w:val="24"/>
        </w:rPr>
        <w:t>；</w:t>
      </w:r>
    </w:p>
    <w:p w14:paraId="7F2EFDC0">
      <w:pPr>
        <w:spacing w:line="360" w:lineRule="auto"/>
        <w:ind w:firstLine="480" w:firstLineChars="200"/>
        <w:rPr>
          <w:bCs/>
          <w:sz w:val="24"/>
          <w:szCs w:val="24"/>
        </w:rPr>
      </w:pPr>
      <w:r>
        <w:rPr>
          <w:bCs/>
          <w:sz w:val="24"/>
          <w:szCs w:val="24"/>
        </w:rPr>
        <w:t>（2）自《基金合同》生效之日起，根据法律法规和《基金合同》独立运用并管理基金财产；</w:t>
      </w:r>
    </w:p>
    <w:p w14:paraId="48C9A210">
      <w:pPr>
        <w:spacing w:line="360" w:lineRule="auto"/>
        <w:ind w:firstLine="480" w:firstLineChars="200"/>
        <w:rPr>
          <w:bCs/>
          <w:sz w:val="24"/>
          <w:szCs w:val="24"/>
        </w:rPr>
      </w:pPr>
      <w:r>
        <w:rPr>
          <w:bCs/>
          <w:sz w:val="24"/>
          <w:szCs w:val="24"/>
        </w:rPr>
        <w:t>（3）依照《基金合同》收取基金管理费以及法律法规规定或中国证监会批准的其他费用；</w:t>
      </w:r>
    </w:p>
    <w:p w14:paraId="7A5B2EA1">
      <w:pPr>
        <w:spacing w:line="360" w:lineRule="auto"/>
        <w:ind w:firstLine="480" w:firstLineChars="200"/>
        <w:rPr>
          <w:bCs/>
          <w:sz w:val="24"/>
          <w:szCs w:val="24"/>
        </w:rPr>
      </w:pPr>
      <w:r>
        <w:rPr>
          <w:bCs/>
          <w:sz w:val="24"/>
          <w:szCs w:val="24"/>
        </w:rPr>
        <w:t>（4）销售基金份额；</w:t>
      </w:r>
    </w:p>
    <w:p w14:paraId="1718C922">
      <w:pPr>
        <w:spacing w:line="360" w:lineRule="auto"/>
        <w:ind w:firstLine="480" w:firstLineChars="200"/>
        <w:rPr>
          <w:bCs/>
          <w:sz w:val="24"/>
          <w:szCs w:val="24"/>
          <w:shd w:val="pct10" w:color="auto" w:fill="FFFFFF"/>
        </w:rPr>
      </w:pPr>
      <w:r>
        <w:rPr>
          <w:bCs/>
          <w:sz w:val="24"/>
          <w:szCs w:val="24"/>
        </w:rPr>
        <w:t>（5）</w:t>
      </w:r>
      <w:r>
        <w:rPr>
          <w:rFonts w:hint="eastAsia"/>
          <w:bCs/>
          <w:sz w:val="24"/>
          <w:szCs w:val="24"/>
        </w:rPr>
        <w:t>按照规定</w:t>
      </w:r>
      <w:r>
        <w:rPr>
          <w:bCs/>
          <w:sz w:val="24"/>
          <w:szCs w:val="24"/>
        </w:rPr>
        <w:t>召集基金份额持有人大会；</w:t>
      </w:r>
    </w:p>
    <w:p w14:paraId="2CE8CD88">
      <w:pPr>
        <w:spacing w:line="360" w:lineRule="auto"/>
        <w:ind w:firstLine="480" w:firstLineChars="200"/>
        <w:rPr>
          <w:bCs/>
          <w:sz w:val="24"/>
          <w:szCs w:val="24"/>
        </w:rPr>
      </w:pPr>
      <w:r>
        <w:rPr>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7A21AC60">
      <w:pPr>
        <w:spacing w:line="360" w:lineRule="auto"/>
        <w:ind w:firstLine="480" w:firstLineChars="200"/>
        <w:rPr>
          <w:bCs/>
          <w:sz w:val="24"/>
          <w:szCs w:val="24"/>
        </w:rPr>
      </w:pPr>
      <w:r>
        <w:rPr>
          <w:bCs/>
          <w:sz w:val="24"/>
          <w:szCs w:val="24"/>
        </w:rPr>
        <w:t>（7）在基金托管人更换时，提名新的基金托管人；</w:t>
      </w:r>
    </w:p>
    <w:p w14:paraId="78DED422">
      <w:pPr>
        <w:spacing w:line="360" w:lineRule="auto"/>
        <w:ind w:firstLine="480" w:firstLineChars="200"/>
        <w:rPr>
          <w:bCs/>
          <w:sz w:val="24"/>
          <w:szCs w:val="24"/>
        </w:rPr>
      </w:pPr>
      <w:r>
        <w:rPr>
          <w:bCs/>
          <w:sz w:val="24"/>
          <w:szCs w:val="24"/>
        </w:rPr>
        <w:t xml:space="preserve">（8）选择、更换基金销售机构，对基金销售机构的相关行为进行监督和处理； </w:t>
      </w:r>
    </w:p>
    <w:p w14:paraId="177D26E6">
      <w:pPr>
        <w:spacing w:line="360" w:lineRule="auto"/>
        <w:ind w:firstLine="480" w:firstLineChars="200"/>
        <w:rPr>
          <w:bCs/>
          <w:sz w:val="24"/>
          <w:szCs w:val="24"/>
        </w:rPr>
      </w:pPr>
      <w:r>
        <w:rPr>
          <w:bCs/>
          <w:sz w:val="24"/>
          <w:szCs w:val="24"/>
        </w:rPr>
        <w:t xml:space="preserve">（9）担任或委托其他符合条件的机构担任基金登记机构办理基金登记业务并获得《基金合同》规定的费用； </w:t>
      </w:r>
    </w:p>
    <w:p w14:paraId="3749F37D">
      <w:pPr>
        <w:spacing w:line="360" w:lineRule="auto"/>
        <w:ind w:firstLine="480" w:firstLineChars="200"/>
        <w:rPr>
          <w:bCs/>
          <w:sz w:val="24"/>
          <w:szCs w:val="24"/>
        </w:rPr>
      </w:pPr>
      <w:r>
        <w:rPr>
          <w:bCs/>
          <w:sz w:val="24"/>
          <w:szCs w:val="24"/>
        </w:rPr>
        <w:t>（10）依据《基金合同》及有关法律规定决定基金收益的分配方案；</w:t>
      </w:r>
      <w:r>
        <w:rPr>
          <w:bCs/>
          <w:sz w:val="24"/>
          <w:szCs w:val="24"/>
        </w:rPr>
        <w:tab/>
      </w:r>
    </w:p>
    <w:p w14:paraId="2B0EC326">
      <w:pPr>
        <w:spacing w:line="360" w:lineRule="auto"/>
        <w:ind w:firstLine="480" w:firstLineChars="200"/>
        <w:rPr>
          <w:bCs/>
          <w:sz w:val="24"/>
          <w:szCs w:val="24"/>
        </w:rPr>
      </w:pPr>
      <w:r>
        <w:rPr>
          <w:bCs/>
          <w:sz w:val="24"/>
          <w:szCs w:val="24"/>
        </w:rPr>
        <w:t>（11）在《基金合同》约定的范围内，拒绝或暂停受理申购</w:t>
      </w:r>
      <w:r>
        <w:rPr>
          <w:rFonts w:hint="eastAsia"/>
          <w:bCs/>
          <w:sz w:val="24"/>
          <w:szCs w:val="24"/>
        </w:rPr>
        <w:t>、</w:t>
      </w:r>
      <w:r>
        <w:rPr>
          <w:bCs/>
          <w:sz w:val="24"/>
          <w:szCs w:val="24"/>
        </w:rPr>
        <w:t>赎回</w:t>
      </w:r>
      <w:r>
        <w:rPr>
          <w:rFonts w:hint="eastAsia"/>
          <w:bCs/>
          <w:sz w:val="24"/>
          <w:szCs w:val="24"/>
        </w:rPr>
        <w:t>和转换</w:t>
      </w:r>
      <w:r>
        <w:rPr>
          <w:bCs/>
          <w:sz w:val="24"/>
          <w:szCs w:val="24"/>
        </w:rPr>
        <w:t xml:space="preserve">申请； </w:t>
      </w:r>
    </w:p>
    <w:p w14:paraId="7061603E">
      <w:pPr>
        <w:spacing w:line="360" w:lineRule="auto"/>
        <w:ind w:firstLine="480" w:firstLineChars="200"/>
        <w:rPr>
          <w:bCs/>
          <w:sz w:val="24"/>
          <w:szCs w:val="24"/>
        </w:rPr>
      </w:pPr>
      <w:r>
        <w:rPr>
          <w:bCs/>
          <w:sz w:val="24"/>
          <w:szCs w:val="24"/>
        </w:rPr>
        <w:t>（12）依照法律法规为基金的利益对被投资公司行使股东权利，为基金的利益行使因基金财产投资于证券所产生的权利；</w:t>
      </w:r>
      <w:r>
        <w:rPr>
          <w:bCs/>
          <w:sz w:val="24"/>
          <w:szCs w:val="24"/>
        </w:rPr>
        <w:tab/>
      </w:r>
    </w:p>
    <w:p w14:paraId="62B629C0">
      <w:pPr>
        <w:spacing w:line="360" w:lineRule="auto"/>
        <w:ind w:firstLine="480" w:firstLineChars="200"/>
        <w:rPr>
          <w:bCs/>
          <w:sz w:val="24"/>
          <w:szCs w:val="24"/>
        </w:rPr>
      </w:pPr>
      <w:r>
        <w:rPr>
          <w:bCs/>
          <w:sz w:val="24"/>
          <w:szCs w:val="24"/>
        </w:rPr>
        <w:t xml:space="preserve">（13）在法律法规允许的前提下，为基金的利益依法为基金进行融资； </w:t>
      </w:r>
    </w:p>
    <w:p w14:paraId="016C9514">
      <w:pPr>
        <w:spacing w:line="360" w:lineRule="auto"/>
        <w:ind w:firstLine="480" w:firstLineChars="200"/>
        <w:rPr>
          <w:bCs/>
          <w:sz w:val="24"/>
          <w:szCs w:val="24"/>
        </w:rPr>
      </w:pPr>
      <w:r>
        <w:rPr>
          <w:bCs/>
          <w:sz w:val="24"/>
          <w:szCs w:val="24"/>
        </w:rPr>
        <w:t>（14）以基金管理人的名义，代表基金份额持有人的利益行使诉讼权利或者实施其他法律行为；</w:t>
      </w:r>
      <w:r>
        <w:rPr>
          <w:bCs/>
          <w:sz w:val="24"/>
          <w:szCs w:val="24"/>
        </w:rPr>
        <w:tab/>
      </w:r>
    </w:p>
    <w:p w14:paraId="3D9FCA13">
      <w:pPr>
        <w:spacing w:line="360" w:lineRule="auto"/>
        <w:ind w:firstLine="480" w:firstLineChars="200"/>
        <w:rPr>
          <w:bCs/>
          <w:sz w:val="24"/>
          <w:szCs w:val="24"/>
        </w:rPr>
      </w:pPr>
      <w:r>
        <w:rPr>
          <w:bCs/>
          <w:sz w:val="24"/>
          <w:szCs w:val="24"/>
        </w:rPr>
        <w:t>（15）选择、更换律师事务所、会计师事务所、证券</w:t>
      </w:r>
      <w:r>
        <w:rPr>
          <w:rFonts w:hint="eastAsia"/>
          <w:bCs/>
          <w:sz w:val="24"/>
          <w:szCs w:val="24"/>
        </w:rPr>
        <w:t>、期货</w:t>
      </w:r>
      <w:r>
        <w:rPr>
          <w:bCs/>
          <w:sz w:val="24"/>
          <w:szCs w:val="24"/>
        </w:rPr>
        <w:t>经纪商或其他为基金提供服务的外部机构；</w:t>
      </w:r>
      <w:r>
        <w:rPr>
          <w:bCs/>
          <w:sz w:val="24"/>
          <w:szCs w:val="24"/>
        </w:rPr>
        <w:tab/>
      </w:r>
    </w:p>
    <w:p w14:paraId="36182261">
      <w:pPr>
        <w:spacing w:line="360" w:lineRule="auto"/>
        <w:ind w:firstLine="480" w:firstLineChars="200"/>
        <w:rPr>
          <w:bCs/>
          <w:sz w:val="24"/>
          <w:szCs w:val="24"/>
        </w:rPr>
      </w:pPr>
      <w:r>
        <w:rPr>
          <w:bCs/>
          <w:sz w:val="24"/>
          <w:szCs w:val="24"/>
        </w:rPr>
        <w:t>（16）在符合有关法律、法规的前提下，制订和调整有关基金认购、申购、赎回、转换和非交易过户的业务规则；</w:t>
      </w:r>
    </w:p>
    <w:p w14:paraId="56EBC29F">
      <w:pPr>
        <w:spacing w:line="360" w:lineRule="auto"/>
        <w:ind w:firstLine="480" w:firstLineChars="200"/>
        <w:rPr>
          <w:bCs/>
          <w:sz w:val="24"/>
          <w:szCs w:val="24"/>
        </w:rPr>
      </w:pPr>
      <w:r>
        <w:rPr>
          <w:bCs/>
          <w:sz w:val="24"/>
          <w:szCs w:val="24"/>
        </w:rPr>
        <w:t>（17）法律法规及中国证监会规定的和《基金合同》约定的其他权利。</w:t>
      </w:r>
    </w:p>
    <w:p w14:paraId="2D96305E">
      <w:pPr>
        <w:spacing w:line="360" w:lineRule="auto"/>
        <w:ind w:firstLine="480" w:firstLineChars="200"/>
        <w:rPr>
          <w:bCs/>
          <w:sz w:val="24"/>
          <w:szCs w:val="24"/>
        </w:rPr>
      </w:pPr>
      <w:r>
        <w:rPr>
          <w:bCs/>
          <w:sz w:val="24"/>
          <w:szCs w:val="24"/>
        </w:rPr>
        <w:t>2、根据《基金法》、《运作办法》及其他有关规定，基金管理人的义务包括但不限于：</w:t>
      </w:r>
    </w:p>
    <w:p w14:paraId="75CA617C">
      <w:pPr>
        <w:spacing w:line="360" w:lineRule="auto"/>
        <w:ind w:firstLine="480" w:firstLineChars="200"/>
        <w:rPr>
          <w:bCs/>
          <w:sz w:val="24"/>
          <w:szCs w:val="24"/>
        </w:rPr>
      </w:pPr>
      <w:r>
        <w:rPr>
          <w:bCs/>
          <w:sz w:val="24"/>
          <w:szCs w:val="24"/>
        </w:rPr>
        <w:t>（1）依法募集</w:t>
      </w:r>
      <w:r>
        <w:rPr>
          <w:rFonts w:hint="eastAsia"/>
          <w:bCs/>
          <w:sz w:val="24"/>
          <w:szCs w:val="24"/>
        </w:rPr>
        <w:t>资金</w:t>
      </w:r>
      <w:r>
        <w:rPr>
          <w:bCs/>
          <w:sz w:val="24"/>
          <w:szCs w:val="24"/>
        </w:rPr>
        <w:t>，办理或者委托经中国证监会认定的其他机构代为办理基金份额的发售、申购、赎回和登记事宜；</w:t>
      </w:r>
    </w:p>
    <w:p w14:paraId="700ABBFE">
      <w:pPr>
        <w:spacing w:line="360" w:lineRule="auto"/>
        <w:ind w:firstLine="480" w:firstLineChars="200"/>
        <w:rPr>
          <w:bCs/>
          <w:sz w:val="24"/>
          <w:szCs w:val="24"/>
        </w:rPr>
      </w:pPr>
      <w:r>
        <w:rPr>
          <w:bCs/>
          <w:sz w:val="24"/>
          <w:szCs w:val="24"/>
        </w:rPr>
        <w:t>（2）办理基金备案手续；</w:t>
      </w:r>
    </w:p>
    <w:p w14:paraId="66DAF97B">
      <w:pPr>
        <w:spacing w:line="360" w:lineRule="auto"/>
        <w:ind w:firstLine="480" w:firstLineChars="200"/>
        <w:rPr>
          <w:bCs/>
          <w:sz w:val="24"/>
          <w:szCs w:val="24"/>
        </w:rPr>
      </w:pPr>
      <w:r>
        <w:rPr>
          <w:bCs/>
          <w:sz w:val="24"/>
          <w:szCs w:val="24"/>
        </w:rPr>
        <w:t>（3）自《基金合同》生效之日起</w:t>
      </w:r>
      <w:r>
        <w:rPr>
          <w:rFonts w:hint="eastAsia"/>
          <w:bCs/>
          <w:sz w:val="24"/>
          <w:szCs w:val="24"/>
        </w:rPr>
        <w:t>，</w:t>
      </w:r>
      <w:r>
        <w:rPr>
          <w:bCs/>
          <w:sz w:val="24"/>
          <w:szCs w:val="24"/>
        </w:rPr>
        <w:t>以诚实信用、谨慎勤勉的原则管理和运用基金财产；</w:t>
      </w:r>
    </w:p>
    <w:p w14:paraId="79A1C769">
      <w:pPr>
        <w:spacing w:line="360" w:lineRule="auto"/>
        <w:ind w:firstLine="480" w:firstLineChars="200"/>
        <w:rPr>
          <w:bCs/>
          <w:sz w:val="24"/>
          <w:szCs w:val="24"/>
        </w:rPr>
      </w:pPr>
      <w:r>
        <w:rPr>
          <w:bCs/>
          <w:sz w:val="24"/>
          <w:szCs w:val="24"/>
        </w:rPr>
        <w:t>（4）配备足够的具有专业资格的人员进行基金投资分析、决策，以专业化的经营方式管理和运作基金财产；</w:t>
      </w:r>
    </w:p>
    <w:p w14:paraId="4E6BFE48">
      <w:pPr>
        <w:spacing w:line="360" w:lineRule="auto"/>
        <w:ind w:firstLine="480" w:firstLineChars="200"/>
        <w:rPr>
          <w:bCs/>
          <w:sz w:val="24"/>
          <w:szCs w:val="24"/>
        </w:rPr>
      </w:pPr>
      <w:r>
        <w:rPr>
          <w:bCs/>
          <w:sz w:val="24"/>
          <w:szCs w:val="24"/>
        </w:rPr>
        <w:t>（5）建立健全内部风险控制、监察与稽核、财务管理及人事管理等制度，保证所管理的基金财产和基金管理人的财产相互独立</w:t>
      </w:r>
      <w:r>
        <w:rPr>
          <w:rFonts w:hint="eastAsia"/>
          <w:bCs/>
          <w:sz w:val="24"/>
          <w:szCs w:val="24"/>
        </w:rPr>
        <w:t>，</w:t>
      </w:r>
      <w:r>
        <w:rPr>
          <w:bCs/>
          <w:sz w:val="24"/>
          <w:szCs w:val="24"/>
        </w:rPr>
        <w:t>对所管理的不同基金分别管理，分别记账，进行证券投资；</w:t>
      </w:r>
    </w:p>
    <w:p w14:paraId="2006E2CE">
      <w:pPr>
        <w:spacing w:line="360" w:lineRule="auto"/>
        <w:ind w:firstLine="480" w:firstLineChars="200"/>
        <w:rPr>
          <w:bCs/>
          <w:sz w:val="24"/>
          <w:szCs w:val="24"/>
        </w:rPr>
      </w:pPr>
      <w:r>
        <w:rPr>
          <w:bCs/>
          <w:sz w:val="24"/>
          <w:szCs w:val="24"/>
        </w:rPr>
        <w:t>（6）除依据《基金法》、《基金合同》及其他有关规定外</w:t>
      </w:r>
      <w:r>
        <w:rPr>
          <w:rFonts w:hint="eastAsia"/>
          <w:bCs/>
          <w:sz w:val="24"/>
          <w:szCs w:val="24"/>
        </w:rPr>
        <w:t>，</w:t>
      </w:r>
      <w:r>
        <w:rPr>
          <w:bCs/>
          <w:sz w:val="24"/>
          <w:szCs w:val="24"/>
        </w:rPr>
        <w:t>不得利用基金财产为自己及任何第三人谋取利益，不得委托第三人运作基金财产；</w:t>
      </w:r>
    </w:p>
    <w:p w14:paraId="4337B9B9">
      <w:pPr>
        <w:spacing w:line="360" w:lineRule="auto"/>
        <w:ind w:firstLine="480" w:firstLineChars="200"/>
        <w:rPr>
          <w:bCs/>
          <w:sz w:val="24"/>
          <w:szCs w:val="24"/>
        </w:rPr>
      </w:pPr>
      <w:r>
        <w:rPr>
          <w:bCs/>
          <w:sz w:val="24"/>
          <w:szCs w:val="24"/>
        </w:rPr>
        <w:t>（7）</w:t>
      </w:r>
      <w:r>
        <w:rPr>
          <w:bCs/>
          <w:sz w:val="24"/>
          <w:szCs w:val="24"/>
        </w:rPr>
        <w:tab/>
      </w:r>
      <w:r>
        <w:rPr>
          <w:bCs/>
          <w:sz w:val="24"/>
          <w:szCs w:val="24"/>
        </w:rPr>
        <w:t>依法接受基金托管人的监督；</w:t>
      </w:r>
    </w:p>
    <w:p w14:paraId="4BDCD396">
      <w:pPr>
        <w:spacing w:line="360" w:lineRule="auto"/>
        <w:ind w:firstLine="480" w:firstLineChars="200"/>
        <w:rPr>
          <w:bCs/>
          <w:sz w:val="24"/>
          <w:szCs w:val="24"/>
        </w:rPr>
      </w:pPr>
      <w:r>
        <w:rPr>
          <w:bCs/>
          <w:sz w:val="24"/>
          <w:szCs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szCs w:val="24"/>
        </w:rPr>
        <w:t>，确定基金份额申购、赎回的价格；</w:t>
      </w:r>
    </w:p>
    <w:p w14:paraId="71ADF21D">
      <w:pPr>
        <w:spacing w:line="360" w:lineRule="auto"/>
        <w:ind w:firstLine="480" w:firstLineChars="200"/>
        <w:rPr>
          <w:bCs/>
          <w:sz w:val="24"/>
          <w:szCs w:val="24"/>
        </w:rPr>
      </w:pPr>
      <w:r>
        <w:rPr>
          <w:bCs/>
          <w:sz w:val="24"/>
          <w:szCs w:val="24"/>
        </w:rPr>
        <w:t>（9）进行基金会计核算并编制基金财务会计报告；</w:t>
      </w:r>
    </w:p>
    <w:p w14:paraId="392E2D75">
      <w:pPr>
        <w:spacing w:line="360" w:lineRule="auto"/>
        <w:ind w:firstLine="480" w:firstLineChars="200"/>
        <w:rPr>
          <w:bCs/>
          <w:sz w:val="24"/>
          <w:szCs w:val="24"/>
        </w:rPr>
      </w:pPr>
      <w:r>
        <w:rPr>
          <w:bCs/>
          <w:sz w:val="24"/>
          <w:szCs w:val="24"/>
        </w:rPr>
        <w:t>（10）编制季度</w:t>
      </w:r>
      <w:r>
        <w:rPr>
          <w:rFonts w:hint="eastAsia"/>
          <w:bCs/>
          <w:sz w:val="24"/>
        </w:rPr>
        <w:t>报告、中期报告</w:t>
      </w:r>
      <w:r>
        <w:rPr>
          <w:bCs/>
          <w:sz w:val="24"/>
          <w:szCs w:val="24"/>
        </w:rPr>
        <w:t>和年度报告；</w:t>
      </w:r>
    </w:p>
    <w:p w14:paraId="3B92C323">
      <w:pPr>
        <w:spacing w:line="360" w:lineRule="auto"/>
        <w:ind w:firstLine="480" w:firstLineChars="200"/>
        <w:rPr>
          <w:bCs/>
          <w:sz w:val="24"/>
          <w:szCs w:val="24"/>
        </w:rPr>
      </w:pPr>
      <w:r>
        <w:rPr>
          <w:bCs/>
          <w:sz w:val="24"/>
          <w:szCs w:val="24"/>
        </w:rPr>
        <w:t>（11）</w:t>
      </w:r>
      <w:r>
        <w:rPr>
          <w:bCs/>
          <w:sz w:val="24"/>
          <w:szCs w:val="24"/>
        </w:rPr>
        <w:tab/>
      </w:r>
      <w:r>
        <w:rPr>
          <w:bCs/>
          <w:sz w:val="24"/>
          <w:szCs w:val="24"/>
        </w:rPr>
        <w:t>严格按照《基金法》、《基金合同》及其他有关规定，履行信息披露及报告义务；</w:t>
      </w:r>
    </w:p>
    <w:p w14:paraId="0854E332">
      <w:pPr>
        <w:spacing w:line="360" w:lineRule="auto"/>
        <w:ind w:firstLine="480" w:firstLineChars="200"/>
        <w:rPr>
          <w:bCs/>
          <w:sz w:val="24"/>
          <w:szCs w:val="24"/>
        </w:rPr>
      </w:pPr>
      <w:r>
        <w:rPr>
          <w:bCs/>
          <w:sz w:val="24"/>
          <w:szCs w:val="24"/>
        </w:rPr>
        <w:t>（12）保守基金商业秘密，不泄露基金投资计划、投资意向等。除《基金法》、《基金合同》及其他有关规定另有规定外，在基金信息公开披露前应予保密，不向他人泄露；</w:t>
      </w:r>
    </w:p>
    <w:p w14:paraId="3B9CA199">
      <w:pPr>
        <w:spacing w:line="360" w:lineRule="auto"/>
        <w:ind w:firstLine="480" w:firstLineChars="200"/>
        <w:rPr>
          <w:bCs/>
          <w:sz w:val="24"/>
          <w:szCs w:val="24"/>
        </w:rPr>
      </w:pPr>
      <w:r>
        <w:rPr>
          <w:bCs/>
          <w:sz w:val="24"/>
          <w:szCs w:val="24"/>
        </w:rPr>
        <w:t>（13）按《基金合同》的约定确定基金收益分配方案，及时向基金份额持有人分配基金收益；</w:t>
      </w:r>
    </w:p>
    <w:p w14:paraId="02F03969">
      <w:pPr>
        <w:spacing w:line="360" w:lineRule="auto"/>
        <w:ind w:firstLine="480" w:firstLineChars="200"/>
        <w:rPr>
          <w:bCs/>
          <w:sz w:val="24"/>
          <w:szCs w:val="24"/>
        </w:rPr>
      </w:pPr>
      <w:r>
        <w:rPr>
          <w:bCs/>
          <w:sz w:val="24"/>
          <w:szCs w:val="24"/>
        </w:rPr>
        <w:t>（14）按规定受理申购与赎回申请，及时、足额支付赎回款项；</w:t>
      </w:r>
    </w:p>
    <w:p w14:paraId="54D727EB">
      <w:pPr>
        <w:spacing w:line="360" w:lineRule="auto"/>
        <w:ind w:firstLine="480" w:firstLineChars="200"/>
        <w:rPr>
          <w:bCs/>
          <w:sz w:val="24"/>
          <w:szCs w:val="24"/>
        </w:rPr>
      </w:pPr>
      <w:r>
        <w:rPr>
          <w:bCs/>
          <w:sz w:val="24"/>
          <w:szCs w:val="24"/>
        </w:rPr>
        <w:t>（15）依据《基金法》、《基金合同》及其他有关规定召集基金份额持有人大会或配合基金托管人、基金份额持有人依法召集基金份额持有人大会；</w:t>
      </w:r>
    </w:p>
    <w:p w14:paraId="5D2333BE">
      <w:pPr>
        <w:spacing w:line="360" w:lineRule="auto"/>
        <w:ind w:firstLine="480" w:firstLineChars="200"/>
        <w:rPr>
          <w:bCs/>
          <w:sz w:val="24"/>
          <w:szCs w:val="24"/>
        </w:rPr>
      </w:pPr>
      <w:r>
        <w:rPr>
          <w:bCs/>
          <w:sz w:val="24"/>
          <w:szCs w:val="24"/>
        </w:rPr>
        <w:t>（16）按规定保存基金财产管理业务活动的会计账册、报表、记录和其他相关资料</w:t>
      </w:r>
      <w:r>
        <w:rPr>
          <w:rFonts w:hint="eastAsia"/>
          <w:bCs/>
          <w:sz w:val="24"/>
          <w:szCs w:val="24"/>
        </w:rPr>
        <w:t>15</w:t>
      </w:r>
      <w:r>
        <w:rPr>
          <w:bCs/>
          <w:sz w:val="24"/>
          <w:szCs w:val="24"/>
        </w:rPr>
        <w:t>年以上；</w:t>
      </w:r>
    </w:p>
    <w:p w14:paraId="2A84FAE8">
      <w:pPr>
        <w:spacing w:line="360" w:lineRule="auto"/>
        <w:ind w:firstLine="480" w:firstLineChars="200"/>
        <w:rPr>
          <w:bCs/>
          <w:sz w:val="24"/>
          <w:szCs w:val="24"/>
        </w:rPr>
      </w:pPr>
      <w:r>
        <w:rPr>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A9A6BED">
      <w:pPr>
        <w:spacing w:line="360" w:lineRule="auto"/>
        <w:ind w:firstLine="480" w:firstLineChars="200"/>
        <w:rPr>
          <w:bCs/>
          <w:sz w:val="24"/>
          <w:szCs w:val="24"/>
        </w:rPr>
      </w:pPr>
      <w:r>
        <w:rPr>
          <w:bCs/>
          <w:sz w:val="24"/>
          <w:szCs w:val="24"/>
        </w:rPr>
        <w:t>（18）组织并参加基金财产清算小组,参与基金财产的保管、清理、估价、变现和分配；</w:t>
      </w:r>
    </w:p>
    <w:p w14:paraId="212B2E2E">
      <w:pPr>
        <w:spacing w:line="360" w:lineRule="auto"/>
        <w:ind w:firstLine="480" w:firstLineChars="200"/>
        <w:rPr>
          <w:bCs/>
          <w:sz w:val="24"/>
          <w:szCs w:val="24"/>
        </w:rPr>
      </w:pPr>
      <w:r>
        <w:rPr>
          <w:bCs/>
          <w:sz w:val="24"/>
          <w:szCs w:val="24"/>
        </w:rPr>
        <w:t>（19）面临解散、依法被撤销或者被依法宣告破产时，及时报告中国证监会并通知基金托管人；</w:t>
      </w:r>
    </w:p>
    <w:p w14:paraId="10974E57">
      <w:pPr>
        <w:spacing w:line="360" w:lineRule="auto"/>
        <w:ind w:firstLine="480" w:firstLineChars="200"/>
        <w:rPr>
          <w:bCs/>
          <w:sz w:val="24"/>
          <w:szCs w:val="24"/>
        </w:rPr>
      </w:pPr>
      <w:r>
        <w:rPr>
          <w:bCs/>
          <w:sz w:val="24"/>
          <w:szCs w:val="24"/>
        </w:rPr>
        <w:t>（20）因违反《基金合同》导致基金财产的损失或损害基金份额持有人合法权益时，应当承担赔偿责任，其赔偿责任不因其退任而免除；</w:t>
      </w:r>
    </w:p>
    <w:p w14:paraId="17A518DA">
      <w:pPr>
        <w:spacing w:line="360" w:lineRule="auto"/>
        <w:ind w:firstLine="480" w:firstLineChars="200"/>
        <w:rPr>
          <w:bCs/>
          <w:sz w:val="24"/>
          <w:szCs w:val="24"/>
        </w:rPr>
      </w:pPr>
      <w:r>
        <w:rPr>
          <w:bCs/>
          <w:sz w:val="24"/>
          <w:szCs w:val="24"/>
        </w:rPr>
        <w:t>（21）监督基金托管人按法律法规和《基金合同》规定履行自己的义务，基金托管人违反《基金合同》造成基金财产损失时，基金管理人应为基金份额持有人利益向基金托管人追偿；</w:t>
      </w:r>
    </w:p>
    <w:p w14:paraId="33B73458">
      <w:pPr>
        <w:spacing w:line="360" w:lineRule="auto"/>
        <w:ind w:firstLine="480" w:firstLineChars="200"/>
        <w:rPr>
          <w:bCs/>
          <w:sz w:val="24"/>
          <w:szCs w:val="24"/>
        </w:rPr>
      </w:pPr>
      <w:r>
        <w:rPr>
          <w:bCs/>
          <w:sz w:val="24"/>
          <w:szCs w:val="24"/>
        </w:rPr>
        <w:t>（22）当基金管理人将其义务委托第三方处理时，应当对第三方处理有关基金事务的行为承担责任；</w:t>
      </w:r>
    </w:p>
    <w:p w14:paraId="165FE2F2">
      <w:pPr>
        <w:spacing w:line="360" w:lineRule="auto"/>
        <w:ind w:firstLine="480" w:firstLineChars="200"/>
        <w:rPr>
          <w:bCs/>
          <w:sz w:val="24"/>
          <w:szCs w:val="24"/>
        </w:rPr>
      </w:pPr>
      <w:r>
        <w:rPr>
          <w:bCs/>
          <w:sz w:val="24"/>
          <w:szCs w:val="24"/>
        </w:rPr>
        <w:t>（23）以基金管理人名义，代表基金份额持有人利益行使诉讼权利或实施其他法律行为；</w:t>
      </w:r>
      <w:r>
        <w:rPr>
          <w:bCs/>
          <w:sz w:val="24"/>
          <w:szCs w:val="24"/>
        </w:rPr>
        <w:tab/>
      </w:r>
    </w:p>
    <w:p w14:paraId="7792229F">
      <w:pPr>
        <w:spacing w:line="360" w:lineRule="auto"/>
        <w:ind w:firstLine="480" w:firstLineChars="200"/>
        <w:rPr>
          <w:bCs/>
          <w:sz w:val="24"/>
          <w:szCs w:val="24"/>
        </w:rPr>
      </w:pPr>
      <w:r>
        <w:rPr>
          <w:bCs/>
          <w:sz w:val="24"/>
          <w:szCs w:val="24"/>
        </w:rPr>
        <w:t>（24）基金管理人在募集期间未能达到基金的备案条件，《基金合同》不能生效，基金管理人承担全部募集费用，将已募集资金并加计银行同期存款利息在基金募集期结束后</w:t>
      </w:r>
      <w:r>
        <w:rPr>
          <w:rFonts w:hint="eastAsia"/>
          <w:bCs/>
          <w:sz w:val="24"/>
          <w:szCs w:val="24"/>
        </w:rPr>
        <w:t>30</w:t>
      </w:r>
      <w:r>
        <w:rPr>
          <w:bCs/>
          <w:sz w:val="24"/>
          <w:szCs w:val="24"/>
        </w:rPr>
        <w:t>日内退还基金认购人；</w:t>
      </w:r>
    </w:p>
    <w:p w14:paraId="3C471D41">
      <w:pPr>
        <w:spacing w:line="360" w:lineRule="auto"/>
        <w:ind w:firstLine="480" w:firstLineChars="200"/>
        <w:rPr>
          <w:bCs/>
          <w:sz w:val="24"/>
          <w:szCs w:val="24"/>
        </w:rPr>
      </w:pPr>
      <w:r>
        <w:rPr>
          <w:bCs/>
          <w:sz w:val="24"/>
          <w:szCs w:val="24"/>
        </w:rPr>
        <w:t>（25）执行生效的基金份额持有人大会的</w:t>
      </w:r>
      <w:r>
        <w:rPr>
          <w:rFonts w:hint="eastAsia"/>
          <w:bCs/>
          <w:sz w:val="24"/>
          <w:szCs w:val="24"/>
        </w:rPr>
        <w:t>决议</w:t>
      </w:r>
      <w:r>
        <w:rPr>
          <w:bCs/>
          <w:sz w:val="24"/>
          <w:szCs w:val="24"/>
        </w:rPr>
        <w:t>；</w:t>
      </w:r>
    </w:p>
    <w:p w14:paraId="0F3A2B3F">
      <w:pPr>
        <w:spacing w:line="360" w:lineRule="auto"/>
        <w:ind w:firstLine="480" w:firstLineChars="200"/>
        <w:rPr>
          <w:bCs/>
          <w:sz w:val="24"/>
          <w:szCs w:val="24"/>
        </w:rPr>
      </w:pPr>
      <w:r>
        <w:rPr>
          <w:bCs/>
          <w:sz w:val="24"/>
          <w:szCs w:val="24"/>
        </w:rPr>
        <w:t>（26）建立并保存基金份额持有人名册；</w:t>
      </w:r>
    </w:p>
    <w:p w14:paraId="4599C131">
      <w:pPr>
        <w:spacing w:line="360" w:lineRule="auto"/>
        <w:ind w:firstLine="480" w:firstLineChars="200"/>
        <w:rPr>
          <w:sz w:val="24"/>
          <w:szCs w:val="24"/>
        </w:rPr>
      </w:pPr>
      <w:r>
        <w:rPr>
          <w:bCs/>
          <w:sz w:val="24"/>
          <w:szCs w:val="24"/>
        </w:rPr>
        <w:t>（27）法律法规及中国证监会规定的和《基金合同》约定的其他义务。</w:t>
      </w:r>
    </w:p>
    <w:p w14:paraId="36953C35">
      <w:pPr>
        <w:spacing w:line="360" w:lineRule="auto"/>
        <w:ind w:firstLine="480" w:firstLineChars="200"/>
        <w:rPr>
          <w:sz w:val="24"/>
          <w:szCs w:val="24"/>
        </w:rPr>
      </w:pPr>
      <w:r>
        <w:rPr>
          <w:rFonts w:hint="eastAsia"/>
          <w:sz w:val="24"/>
          <w:szCs w:val="24"/>
        </w:rPr>
        <w:t>（三）基金托管人的权利、义务</w:t>
      </w:r>
    </w:p>
    <w:p w14:paraId="16339B11">
      <w:pPr>
        <w:spacing w:line="360" w:lineRule="auto"/>
        <w:ind w:firstLine="480" w:firstLineChars="200"/>
        <w:rPr>
          <w:bCs/>
          <w:sz w:val="24"/>
          <w:szCs w:val="24"/>
        </w:rPr>
      </w:pPr>
      <w:r>
        <w:rPr>
          <w:bCs/>
          <w:sz w:val="24"/>
          <w:szCs w:val="24"/>
        </w:rPr>
        <w:t>1、根据《基金法》、《运作办法》及其他有关规定，基金托管人的权利包括但不限于：</w:t>
      </w:r>
    </w:p>
    <w:p w14:paraId="54D09E89">
      <w:pPr>
        <w:spacing w:line="360" w:lineRule="auto"/>
        <w:ind w:firstLine="480" w:firstLineChars="200"/>
        <w:rPr>
          <w:bCs/>
          <w:sz w:val="24"/>
          <w:szCs w:val="24"/>
        </w:rPr>
      </w:pPr>
      <w:r>
        <w:rPr>
          <w:bCs/>
          <w:sz w:val="24"/>
          <w:szCs w:val="24"/>
        </w:rPr>
        <w:t>（1）自《基金合同》生效之日起，依法律法规和《基金合同》的规定安全保管基金财产；</w:t>
      </w:r>
    </w:p>
    <w:p w14:paraId="625ED2EC">
      <w:pPr>
        <w:spacing w:line="360" w:lineRule="auto"/>
        <w:ind w:firstLine="480" w:firstLineChars="200"/>
        <w:rPr>
          <w:bCs/>
          <w:sz w:val="24"/>
          <w:szCs w:val="24"/>
        </w:rPr>
      </w:pPr>
      <w:r>
        <w:rPr>
          <w:bCs/>
          <w:sz w:val="24"/>
          <w:szCs w:val="24"/>
        </w:rPr>
        <w:t>（2）依《基金合同》约定获得基金托管费以及法律法规规定或监管部门批准的其他费用；</w:t>
      </w:r>
    </w:p>
    <w:p w14:paraId="6ACE89D0">
      <w:pPr>
        <w:spacing w:line="360" w:lineRule="auto"/>
        <w:ind w:firstLine="480" w:firstLineChars="200"/>
        <w:rPr>
          <w:bCs/>
          <w:sz w:val="24"/>
          <w:szCs w:val="24"/>
        </w:rPr>
      </w:pPr>
      <w:r>
        <w:rPr>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089E7DA">
      <w:pPr>
        <w:spacing w:line="360" w:lineRule="auto"/>
        <w:ind w:firstLine="480" w:firstLineChars="200"/>
        <w:rPr>
          <w:bCs/>
          <w:sz w:val="24"/>
          <w:szCs w:val="24"/>
        </w:rPr>
      </w:pPr>
      <w:r>
        <w:rPr>
          <w:bCs/>
          <w:sz w:val="24"/>
          <w:szCs w:val="24"/>
        </w:rPr>
        <w:t>（4）根据相关市场规则，为基金开设</w:t>
      </w:r>
      <w:r>
        <w:rPr>
          <w:rFonts w:hint="eastAsia"/>
          <w:bCs/>
          <w:sz w:val="24"/>
          <w:szCs w:val="24"/>
        </w:rPr>
        <w:t>资金账户、</w:t>
      </w:r>
      <w:r>
        <w:rPr>
          <w:bCs/>
          <w:sz w:val="24"/>
          <w:szCs w:val="24"/>
        </w:rPr>
        <w:t>证券</w:t>
      </w:r>
      <w:r>
        <w:rPr>
          <w:rFonts w:hint="eastAsia"/>
          <w:bCs/>
          <w:sz w:val="24"/>
          <w:szCs w:val="24"/>
        </w:rPr>
        <w:t>账户等投资所需账户，</w:t>
      </w:r>
      <w:r>
        <w:rPr>
          <w:bCs/>
          <w:sz w:val="24"/>
          <w:szCs w:val="24"/>
        </w:rPr>
        <w:t>为基金办理证券交易资金清算。</w:t>
      </w:r>
    </w:p>
    <w:p w14:paraId="15905045">
      <w:pPr>
        <w:spacing w:line="360" w:lineRule="auto"/>
        <w:ind w:firstLine="480" w:firstLineChars="200"/>
        <w:rPr>
          <w:bCs/>
          <w:sz w:val="24"/>
          <w:szCs w:val="24"/>
        </w:rPr>
      </w:pPr>
      <w:r>
        <w:rPr>
          <w:bCs/>
          <w:sz w:val="24"/>
          <w:szCs w:val="24"/>
        </w:rPr>
        <w:t>（5）提议召开或召集基金份额持有人大会；</w:t>
      </w:r>
    </w:p>
    <w:p w14:paraId="5C6411C6">
      <w:pPr>
        <w:spacing w:line="360" w:lineRule="auto"/>
        <w:ind w:firstLine="480" w:firstLineChars="200"/>
        <w:rPr>
          <w:bCs/>
          <w:sz w:val="24"/>
          <w:szCs w:val="24"/>
        </w:rPr>
      </w:pPr>
      <w:r>
        <w:rPr>
          <w:bCs/>
          <w:sz w:val="24"/>
          <w:szCs w:val="24"/>
        </w:rPr>
        <w:t>（6）在基金管理人更换时，提名新的基金管理人；</w:t>
      </w:r>
    </w:p>
    <w:p w14:paraId="060AC74E">
      <w:pPr>
        <w:spacing w:line="360" w:lineRule="auto"/>
        <w:ind w:firstLine="480" w:firstLineChars="200"/>
        <w:rPr>
          <w:bCs/>
          <w:sz w:val="24"/>
          <w:szCs w:val="24"/>
        </w:rPr>
      </w:pPr>
      <w:r>
        <w:rPr>
          <w:bCs/>
          <w:sz w:val="24"/>
          <w:szCs w:val="24"/>
        </w:rPr>
        <w:t>（7）</w:t>
      </w:r>
      <w:r>
        <w:rPr>
          <w:rFonts w:hint="eastAsia"/>
          <w:bCs/>
          <w:sz w:val="24"/>
          <w:szCs w:val="24"/>
        </w:rPr>
        <w:t>法律法规及中国证监会规定的和《基金合同》约定的其他</w:t>
      </w:r>
      <w:r>
        <w:rPr>
          <w:bCs/>
          <w:sz w:val="24"/>
          <w:szCs w:val="24"/>
        </w:rPr>
        <w:t>权利。</w:t>
      </w:r>
    </w:p>
    <w:p w14:paraId="668C9DCD">
      <w:pPr>
        <w:spacing w:line="360" w:lineRule="auto"/>
        <w:ind w:firstLine="480" w:firstLineChars="200"/>
        <w:rPr>
          <w:bCs/>
          <w:sz w:val="24"/>
          <w:szCs w:val="24"/>
        </w:rPr>
      </w:pPr>
      <w:r>
        <w:rPr>
          <w:bCs/>
          <w:sz w:val="24"/>
          <w:szCs w:val="24"/>
        </w:rPr>
        <w:t>2、根据《基金法》、《运作办法》及其他有关规定，基金托管人的义务包括但不限于：</w:t>
      </w:r>
    </w:p>
    <w:p w14:paraId="3B8EB098">
      <w:pPr>
        <w:spacing w:line="360" w:lineRule="auto"/>
        <w:ind w:firstLine="480" w:firstLineChars="200"/>
        <w:rPr>
          <w:bCs/>
          <w:sz w:val="24"/>
          <w:szCs w:val="24"/>
        </w:rPr>
      </w:pPr>
      <w:r>
        <w:rPr>
          <w:bCs/>
          <w:sz w:val="24"/>
          <w:szCs w:val="24"/>
        </w:rPr>
        <w:t>（1）以诚实信用、勤勉尽责的原则持有并安全保管基金财产；</w:t>
      </w:r>
    </w:p>
    <w:p w14:paraId="6C197901">
      <w:pPr>
        <w:spacing w:line="360" w:lineRule="auto"/>
        <w:ind w:firstLine="480" w:firstLineChars="200"/>
        <w:rPr>
          <w:bCs/>
          <w:sz w:val="24"/>
          <w:szCs w:val="24"/>
        </w:rPr>
      </w:pPr>
      <w:r>
        <w:rPr>
          <w:bCs/>
          <w:sz w:val="24"/>
          <w:szCs w:val="24"/>
        </w:rPr>
        <w:t>（2）设立专门的基金托管部门，具有符合要求的营业场所，配备足够的、合格的熟悉基金托管业务的专职人员，负责基金财产托管事宜；</w:t>
      </w:r>
    </w:p>
    <w:p w14:paraId="284407A3">
      <w:pPr>
        <w:spacing w:line="360" w:lineRule="auto"/>
        <w:ind w:firstLine="480" w:firstLineChars="200"/>
        <w:rPr>
          <w:bCs/>
          <w:sz w:val="24"/>
          <w:szCs w:val="24"/>
        </w:rPr>
      </w:pPr>
      <w:r>
        <w:rPr>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4E5BDD3">
      <w:pPr>
        <w:spacing w:line="360" w:lineRule="auto"/>
        <w:ind w:firstLine="480" w:firstLineChars="200"/>
        <w:rPr>
          <w:bCs/>
          <w:sz w:val="24"/>
          <w:szCs w:val="24"/>
        </w:rPr>
      </w:pPr>
      <w:r>
        <w:rPr>
          <w:bCs/>
          <w:sz w:val="24"/>
          <w:szCs w:val="24"/>
        </w:rPr>
        <w:t>（4）除依据《基金法》、《基金合同》及其他有关规定外，不得利用基金财产为自己及任何第三人谋取利益，不得委托第三人托管基金财产；</w:t>
      </w:r>
    </w:p>
    <w:p w14:paraId="0CB017AE">
      <w:pPr>
        <w:spacing w:line="360" w:lineRule="auto"/>
        <w:ind w:firstLine="480" w:firstLineChars="200"/>
        <w:rPr>
          <w:bCs/>
          <w:sz w:val="24"/>
          <w:szCs w:val="24"/>
        </w:rPr>
      </w:pPr>
      <w:r>
        <w:rPr>
          <w:bCs/>
          <w:sz w:val="24"/>
          <w:szCs w:val="24"/>
        </w:rPr>
        <w:t>（5）保管由基金管理人代表基金签订的与基金有关的重大合同及有关凭证；</w:t>
      </w:r>
    </w:p>
    <w:p w14:paraId="5A892163">
      <w:pPr>
        <w:spacing w:line="360" w:lineRule="auto"/>
        <w:ind w:firstLine="480" w:firstLineChars="200"/>
        <w:rPr>
          <w:bCs/>
          <w:sz w:val="24"/>
          <w:szCs w:val="24"/>
        </w:rPr>
      </w:pPr>
      <w:r>
        <w:rPr>
          <w:bCs/>
          <w:sz w:val="24"/>
          <w:szCs w:val="24"/>
        </w:rPr>
        <w:t>（6）按规定开设基金财产的资金账户</w:t>
      </w:r>
      <w:r>
        <w:rPr>
          <w:rFonts w:hint="eastAsia"/>
          <w:bCs/>
          <w:sz w:val="24"/>
          <w:szCs w:val="24"/>
        </w:rPr>
        <w:t>、</w:t>
      </w:r>
      <w:r>
        <w:rPr>
          <w:bCs/>
          <w:sz w:val="24"/>
          <w:szCs w:val="24"/>
        </w:rPr>
        <w:t>证券账户</w:t>
      </w:r>
      <w:r>
        <w:rPr>
          <w:rFonts w:hint="eastAsia"/>
          <w:bCs/>
          <w:sz w:val="24"/>
          <w:szCs w:val="24"/>
        </w:rPr>
        <w:t>及投资所需的其他账户，</w:t>
      </w:r>
      <w:r>
        <w:rPr>
          <w:bCs/>
          <w:sz w:val="24"/>
          <w:szCs w:val="24"/>
        </w:rPr>
        <w:t>按照《基金合同》的约定，根据基金管理人的投资指令，及时办理清算、交割事宜；</w:t>
      </w:r>
    </w:p>
    <w:p w14:paraId="59D2AF20">
      <w:pPr>
        <w:spacing w:line="360" w:lineRule="auto"/>
        <w:ind w:firstLine="480" w:firstLineChars="200"/>
        <w:rPr>
          <w:bCs/>
          <w:sz w:val="24"/>
          <w:szCs w:val="24"/>
        </w:rPr>
      </w:pPr>
      <w:r>
        <w:rPr>
          <w:bCs/>
          <w:sz w:val="24"/>
          <w:szCs w:val="24"/>
        </w:rPr>
        <w:t>（7）保守基金商业秘密，除《基金法》、《基金合同》及其他有关规定另有规定外，在基金信息公开披露前予以保密，不得向他人泄露；</w:t>
      </w:r>
    </w:p>
    <w:p w14:paraId="02954881">
      <w:pPr>
        <w:spacing w:line="360" w:lineRule="auto"/>
        <w:ind w:firstLine="480" w:firstLineChars="200"/>
        <w:rPr>
          <w:bCs/>
          <w:sz w:val="24"/>
          <w:szCs w:val="24"/>
        </w:rPr>
      </w:pPr>
      <w:r>
        <w:rPr>
          <w:bCs/>
          <w:sz w:val="24"/>
          <w:szCs w:val="24"/>
        </w:rPr>
        <w:t>（8）复核、审查基金管理人计算的基金资产净值、</w:t>
      </w:r>
      <w:r>
        <w:rPr>
          <w:rFonts w:hint="eastAsia"/>
          <w:bCs/>
          <w:sz w:val="24"/>
        </w:rPr>
        <w:t>各类</w:t>
      </w:r>
      <w:r>
        <w:rPr>
          <w:rFonts w:hint="eastAsia"/>
          <w:bCs/>
          <w:sz w:val="24"/>
          <w:szCs w:val="24"/>
        </w:rPr>
        <w:t>基金份额净值、</w:t>
      </w:r>
      <w:r>
        <w:rPr>
          <w:bCs/>
          <w:sz w:val="24"/>
          <w:szCs w:val="24"/>
        </w:rPr>
        <w:t>基金份额申购、赎回价格；</w:t>
      </w:r>
    </w:p>
    <w:p w14:paraId="340B233A">
      <w:pPr>
        <w:spacing w:line="360" w:lineRule="auto"/>
        <w:ind w:firstLine="480" w:firstLineChars="200"/>
        <w:rPr>
          <w:bCs/>
          <w:sz w:val="24"/>
          <w:szCs w:val="24"/>
        </w:rPr>
      </w:pPr>
      <w:r>
        <w:rPr>
          <w:bCs/>
          <w:sz w:val="24"/>
          <w:szCs w:val="24"/>
        </w:rPr>
        <w:t>（9）办理与基金托管业务活动有关的信息披露事项；</w:t>
      </w:r>
    </w:p>
    <w:p w14:paraId="2A5341EA">
      <w:pPr>
        <w:spacing w:line="360" w:lineRule="auto"/>
        <w:ind w:firstLine="480" w:firstLineChars="200"/>
        <w:rPr>
          <w:bCs/>
          <w:sz w:val="24"/>
          <w:szCs w:val="24"/>
        </w:rPr>
      </w:pPr>
      <w:r>
        <w:rPr>
          <w:bCs/>
          <w:sz w:val="24"/>
          <w:szCs w:val="24"/>
        </w:rPr>
        <w:t>（10）对基金财务会计报告、</w:t>
      </w:r>
      <w:r>
        <w:rPr>
          <w:rFonts w:hint="eastAsia"/>
          <w:bCs/>
          <w:sz w:val="24"/>
          <w:szCs w:val="24"/>
        </w:rPr>
        <w:t>季度报告、中期报告和年度报告</w:t>
      </w:r>
      <w:r>
        <w:rPr>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57147051">
      <w:pPr>
        <w:spacing w:line="360" w:lineRule="auto"/>
        <w:ind w:firstLine="480" w:firstLineChars="200"/>
        <w:rPr>
          <w:bCs/>
          <w:sz w:val="24"/>
          <w:szCs w:val="24"/>
        </w:rPr>
      </w:pPr>
      <w:r>
        <w:rPr>
          <w:bCs/>
          <w:sz w:val="24"/>
          <w:szCs w:val="24"/>
        </w:rPr>
        <w:t>（11）保存基金托管业务活动的记录、账册、报表和其他相关资料</w:t>
      </w:r>
      <w:r>
        <w:rPr>
          <w:rFonts w:hint="eastAsia"/>
          <w:sz w:val="24"/>
          <w:szCs w:val="24"/>
        </w:rPr>
        <w:t>15</w:t>
      </w:r>
      <w:r>
        <w:rPr>
          <w:bCs/>
          <w:sz w:val="24"/>
          <w:szCs w:val="24"/>
        </w:rPr>
        <w:t>年以上；</w:t>
      </w:r>
    </w:p>
    <w:p w14:paraId="4625CA1D">
      <w:pPr>
        <w:spacing w:line="360" w:lineRule="auto"/>
        <w:ind w:firstLine="480" w:firstLineChars="200"/>
        <w:rPr>
          <w:bCs/>
          <w:sz w:val="24"/>
          <w:szCs w:val="24"/>
        </w:rPr>
      </w:pPr>
      <w:r>
        <w:rPr>
          <w:bCs/>
          <w:sz w:val="24"/>
          <w:szCs w:val="24"/>
        </w:rPr>
        <w:t>（12）建立并保存基金份额持有人名册；</w:t>
      </w:r>
    </w:p>
    <w:p w14:paraId="32C78996">
      <w:pPr>
        <w:spacing w:line="360" w:lineRule="auto"/>
        <w:ind w:firstLine="480" w:firstLineChars="200"/>
        <w:rPr>
          <w:bCs/>
          <w:sz w:val="24"/>
          <w:szCs w:val="24"/>
        </w:rPr>
      </w:pPr>
      <w:r>
        <w:rPr>
          <w:bCs/>
          <w:sz w:val="24"/>
          <w:szCs w:val="24"/>
        </w:rPr>
        <w:t>（13）按规定制作相关账册并与基金管理人核对；</w:t>
      </w:r>
    </w:p>
    <w:p w14:paraId="2BF60B2C">
      <w:pPr>
        <w:spacing w:line="360" w:lineRule="auto"/>
        <w:ind w:firstLine="480" w:firstLineChars="200"/>
        <w:rPr>
          <w:bCs/>
          <w:sz w:val="24"/>
          <w:szCs w:val="24"/>
        </w:rPr>
      </w:pPr>
      <w:r>
        <w:rPr>
          <w:bCs/>
          <w:sz w:val="24"/>
          <w:szCs w:val="24"/>
        </w:rPr>
        <w:t>（14）依据基金管理人的指令或有关规定向基金份额持有人支付基金收益和赎回款项；</w:t>
      </w:r>
    </w:p>
    <w:p w14:paraId="19175BFF">
      <w:pPr>
        <w:spacing w:line="360" w:lineRule="auto"/>
        <w:ind w:firstLine="480" w:firstLineChars="200"/>
        <w:rPr>
          <w:bCs/>
          <w:sz w:val="24"/>
          <w:szCs w:val="24"/>
        </w:rPr>
      </w:pPr>
      <w:r>
        <w:rPr>
          <w:bCs/>
          <w:sz w:val="24"/>
          <w:szCs w:val="24"/>
        </w:rPr>
        <w:t>（15）依据《基金法》、《基金合同》及其他有关规定，召集基金份额持有人大会或配合</w:t>
      </w:r>
      <w:r>
        <w:rPr>
          <w:rFonts w:hint="eastAsia"/>
          <w:bCs/>
          <w:sz w:val="24"/>
          <w:szCs w:val="24"/>
        </w:rPr>
        <w:t>基金管理人、</w:t>
      </w:r>
      <w:r>
        <w:rPr>
          <w:bCs/>
          <w:sz w:val="24"/>
          <w:szCs w:val="24"/>
        </w:rPr>
        <w:t>基金份额持有人依法召集基金份额持有人大会；</w:t>
      </w:r>
    </w:p>
    <w:p w14:paraId="30310447">
      <w:pPr>
        <w:spacing w:line="360" w:lineRule="auto"/>
        <w:ind w:firstLine="480" w:firstLineChars="200"/>
        <w:rPr>
          <w:bCs/>
          <w:sz w:val="24"/>
          <w:szCs w:val="24"/>
        </w:rPr>
      </w:pPr>
      <w:r>
        <w:rPr>
          <w:bCs/>
          <w:sz w:val="24"/>
          <w:szCs w:val="24"/>
        </w:rPr>
        <w:t>（16）按照法律法规和《基金合同》的规定监督基金管理人的投资运作；</w:t>
      </w:r>
    </w:p>
    <w:p w14:paraId="637DEBF0">
      <w:pPr>
        <w:spacing w:line="360" w:lineRule="auto"/>
        <w:ind w:firstLine="480" w:firstLineChars="200"/>
        <w:rPr>
          <w:bCs/>
          <w:sz w:val="24"/>
          <w:szCs w:val="24"/>
        </w:rPr>
      </w:pPr>
      <w:r>
        <w:rPr>
          <w:bCs/>
          <w:sz w:val="24"/>
          <w:szCs w:val="24"/>
        </w:rPr>
        <w:t>（17）参加基金财产清算小组，参与基金财产的保管、清理、估价、变现和分配；</w:t>
      </w:r>
    </w:p>
    <w:p w14:paraId="70D12F59">
      <w:pPr>
        <w:spacing w:line="360" w:lineRule="auto"/>
        <w:ind w:firstLine="480" w:firstLineChars="200"/>
        <w:rPr>
          <w:bCs/>
          <w:sz w:val="24"/>
          <w:szCs w:val="24"/>
        </w:rPr>
      </w:pPr>
      <w:r>
        <w:rPr>
          <w:bCs/>
          <w:sz w:val="24"/>
          <w:szCs w:val="24"/>
        </w:rPr>
        <w:t>（18）面临解散、依法被撤销或者被依法宣告破产时，及时报告中国证监会和银行监管机构，并通知基金管理人；</w:t>
      </w:r>
    </w:p>
    <w:p w14:paraId="24126F61">
      <w:pPr>
        <w:spacing w:line="360" w:lineRule="auto"/>
        <w:ind w:firstLine="480" w:firstLineChars="200"/>
        <w:rPr>
          <w:bCs/>
          <w:sz w:val="24"/>
          <w:szCs w:val="24"/>
        </w:rPr>
      </w:pPr>
      <w:r>
        <w:rPr>
          <w:bCs/>
          <w:sz w:val="24"/>
          <w:szCs w:val="24"/>
        </w:rPr>
        <w:t>（19）因违反《基金合同》导致基金财产损失时，应承担赔偿责任，其赔偿责任不因其退任而免除；</w:t>
      </w:r>
    </w:p>
    <w:p w14:paraId="7247B46D">
      <w:pPr>
        <w:spacing w:line="360" w:lineRule="auto"/>
        <w:ind w:firstLine="480" w:firstLineChars="200"/>
        <w:rPr>
          <w:bCs/>
          <w:sz w:val="24"/>
          <w:szCs w:val="24"/>
        </w:rPr>
      </w:pPr>
      <w:r>
        <w:rPr>
          <w:bCs/>
          <w:sz w:val="24"/>
          <w:szCs w:val="24"/>
        </w:rPr>
        <w:t>（20）按规定监督基金管理人按法律法规和《基金合同》规定履行自己的义务，基金管理人因违反《基金合同》造成基金财产损失时，应为基金份额持有人利益向基金管理人追偿；</w:t>
      </w:r>
    </w:p>
    <w:p w14:paraId="43E1B1C8">
      <w:pPr>
        <w:spacing w:line="360" w:lineRule="auto"/>
        <w:ind w:firstLine="480" w:firstLineChars="200"/>
        <w:rPr>
          <w:bCs/>
          <w:sz w:val="24"/>
          <w:szCs w:val="24"/>
        </w:rPr>
      </w:pPr>
      <w:r>
        <w:rPr>
          <w:bCs/>
          <w:sz w:val="24"/>
          <w:szCs w:val="24"/>
        </w:rPr>
        <w:t>（21）执行生效的基金份额持有人大会的</w:t>
      </w:r>
      <w:r>
        <w:rPr>
          <w:rFonts w:hint="eastAsia"/>
          <w:bCs/>
          <w:sz w:val="24"/>
          <w:szCs w:val="24"/>
        </w:rPr>
        <w:t>决议</w:t>
      </w:r>
      <w:r>
        <w:rPr>
          <w:bCs/>
          <w:sz w:val="24"/>
          <w:szCs w:val="24"/>
        </w:rPr>
        <w:t>；</w:t>
      </w:r>
    </w:p>
    <w:p w14:paraId="446E2CFB">
      <w:pPr>
        <w:spacing w:line="360" w:lineRule="auto"/>
        <w:ind w:firstLine="480" w:firstLineChars="200"/>
        <w:rPr>
          <w:bCs/>
          <w:sz w:val="24"/>
          <w:szCs w:val="24"/>
        </w:rPr>
      </w:pPr>
      <w:r>
        <w:rPr>
          <w:bCs/>
          <w:sz w:val="24"/>
          <w:szCs w:val="24"/>
        </w:rPr>
        <w:t>（22）法律法规及中国证监会规定的和《基金合同》约定的其他义务。</w:t>
      </w:r>
    </w:p>
    <w:p w14:paraId="51C08587">
      <w:pPr>
        <w:spacing w:line="360" w:lineRule="auto"/>
        <w:ind w:firstLine="480" w:firstLineChars="200"/>
        <w:rPr>
          <w:sz w:val="24"/>
          <w:szCs w:val="24"/>
        </w:rPr>
      </w:pPr>
      <w:r>
        <w:rPr>
          <w:rFonts w:hint="eastAsia"/>
          <w:sz w:val="24"/>
          <w:szCs w:val="24"/>
        </w:rPr>
        <w:t>二、基金份额持有人大会召集、议事及表决的程序和规则</w:t>
      </w:r>
    </w:p>
    <w:p w14:paraId="61CF7EE8">
      <w:pPr>
        <w:spacing w:line="360" w:lineRule="auto"/>
        <w:ind w:firstLine="480" w:firstLineChars="200"/>
        <w:rPr>
          <w:bCs/>
          <w:sz w:val="24"/>
          <w:szCs w:val="24"/>
        </w:rPr>
      </w:pPr>
      <w:r>
        <w:rPr>
          <w:bCs/>
          <w:sz w:val="24"/>
          <w:szCs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bCs/>
          <w:sz w:val="24"/>
          <w:szCs w:val="24"/>
        </w:rPr>
        <w:t>基金份额持有人持有的</w:t>
      </w:r>
      <w:r>
        <w:rPr>
          <w:rFonts w:hint="eastAsia"/>
          <w:bCs/>
          <w:sz w:val="24"/>
        </w:rPr>
        <w:t>同一类别内</w:t>
      </w:r>
      <w:r>
        <w:rPr>
          <w:bCs/>
          <w:sz w:val="24"/>
          <w:szCs w:val="24"/>
        </w:rPr>
        <w:t>每一基金份额拥有平等的投票权。</w:t>
      </w:r>
    </w:p>
    <w:p w14:paraId="70447593">
      <w:pPr>
        <w:spacing w:line="360" w:lineRule="auto"/>
        <w:ind w:firstLine="480" w:firstLineChars="200"/>
        <w:rPr>
          <w:bCs/>
          <w:sz w:val="24"/>
          <w:szCs w:val="24"/>
        </w:rPr>
      </w:pPr>
      <w:r>
        <w:rPr>
          <w:rFonts w:hint="eastAsia"/>
          <w:bCs/>
          <w:sz w:val="24"/>
          <w:szCs w:val="24"/>
        </w:rPr>
        <w:t>（一）</w:t>
      </w:r>
      <w:r>
        <w:rPr>
          <w:bCs/>
          <w:sz w:val="24"/>
          <w:szCs w:val="24"/>
        </w:rPr>
        <w:t>召开事由</w:t>
      </w:r>
    </w:p>
    <w:p w14:paraId="0D5F8CCE">
      <w:pPr>
        <w:spacing w:line="360" w:lineRule="auto"/>
        <w:ind w:firstLine="480" w:firstLineChars="200"/>
        <w:rPr>
          <w:bCs/>
          <w:sz w:val="24"/>
          <w:szCs w:val="24"/>
        </w:rPr>
      </w:pPr>
      <w:r>
        <w:rPr>
          <w:bCs/>
          <w:sz w:val="24"/>
          <w:szCs w:val="24"/>
        </w:rPr>
        <w:t>1、</w:t>
      </w:r>
      <w:r>
        <w:rPr>
          <w:rFonts w:hint="eastAsia"/>
          <w:bCs/>
          <w:sz w:val="24"/>
          <w:szCs w:val="24"/>
        </w:rPr>
        <w:t>除法律法规、中国证监会另有规定的除外，</w:t>
      </w:r>
      <w:r>
        <w:rPr>
          <w:bCs/>
          <w:sz w:val="24"/>
          <w:szCs w:val="24"/>
        </w:rPr>
        <w:t>当出现或需要决定下列事由之一的，应当召开基金份额持有人大会：</w:t>
      </w:r>
    </w:p>
    <w:p w14:paraId="25A96CD1">
      <w:pPr>
        <w:spacing w:line="360" w:lineRule="auto"/>
        <w:ind w:firstLine="480" w:firstLineChars="200"/>
        <w:rPr>
          <w:bCs/>
          <w:sz w:val="24"/>
          <w:szCs w:val="24"/>
        </w:rPr>
      </w:pPr>
      <w:r>
        <w:rPr>
          <w:bCs/>
          <w:sz w:val="24"/>
          <w:szCs w:val="24"/>
        </w:rPr>
        <w:t>（1）终止《基金合同》；</w:t>
      </w:r>
    </w:p>
    <w:p w14:paraId="6FC04751">
      <w:pPr>
        <w:spacing w:line="360" w:lineRule="auto"/>
        <w:ind w:firstLine="480" w:firstLineChars="200"/>
        <w:rPr>
          <w:bCs/>
          <w:sz w:val="24"/>
          <w:szCs w:val="24"/>
        </w:rPr>
      </w:pPr>
      <w:r>
        <w:rPr>
          <w:bCs/>
          <w:sz w:val="24"/>
          <w:szCs w:val="24"/>
        </w:rPr>
        <w:t>（2）更换基金管理人；</w:t>
      </w:r>
    </w:p>
    <w:p w14:paraId="3E7CF3E0">
      <w:pPr>
        <w:spacing w:line="360" w:lineRule="auto"/>
        <w:ind w:firstLine="480" w:firstLineChars="200"/>
        <w:rPr>
          <w:bCs/>
          <w:sz w:val="24"/>
          <w:szCs w:val="24"/>
        </w:rPr>
      </w:pPr>
      <w:r>
        <w:rPr>
          <w:bCs/>
          <w:sz w:val="24"/>
          <w:szCs w:val="24"/>
        </w:rPr>
        <w:t>（3）更换基金托管人；</w:t>
      </w:r>
    </w:p>
    <w:p w14:paraId="5AA49F2E">
      <w:pPr>
        <w:spacing w:line="360" w:lineRule="auto"/>
        <w:ind w:firstLine="480" w:firstLineChars="200"/>
        <w:rPr>
          <w:bCs/>
          <w:sz w:val="24"/>
          <w:szCs w:val="24"/>
        </w:rPr>
      </w:pPr>
      <w:r>
        <w:rPr>
          <w:bCs/>
          <w:sz w:val="24"/>
          <w:szCs w:val="24"/>
        </w:rPr>
        <w:t>（4）转换基金运作方式；</w:t>
      </w:r>
    </w:p>
    <w:p w14:paraId="787B9A7F">
      <w:pPr>
        <w:spacing w:line="360" w:lineRule="auto"/>
        <w:ind w:firstLine="480" w:firstLineChars="200"/>
        <w:rPr>
          <w:bCs/>
          <w:sz w:val="24"/>
          <w:szCs w:val="24"/>
        </w:rPr>
      </w:pPr>
      <w:r>
        <w:rPr>
          <w:bCs/>
          <w:sz w:val="24"/>
          <w:szCs w:val="24"/>
        </w:rPr>
        <w:t>（5）提高基金管理人、基金托管人的报酬标准</w:t>
      </w:r>
      <w:r>
        <w:rPr>
          <w:rFonts w:hint="eastAsia"/>
          <w:bCs/>
          <w:sz w:val="24"/>
        </w:rPr>
        <w:t>或提高销售服务费</w:t>
      </w:r>
      <w:r>
        <w:rPr>
          <w:bCs/>
          <w:sz w:val="24"/>
          <w:szCs w:val="24"/>
        </w:rPr>
        <w:t>；</w:t>
      </w:r>
    </w:p>
    <w:p w14:paraId="38E304D4">
      <w:pPr>
        <w:spacing w:line="360" w:lineRule="auto"/>
        <w:ind w:firstLine="480" w:firstLineChars="200"/>
        <w:rPr>
          <w:bCs/>
          <w:sz w:val="24"/>
          <w:szCs w:val="24"/>
        </w:rPr>
      </w:pPr>
      <w:r>
        <w:rPr>
          <w:bCs/>
          <w:sz w:val="24"/>
          <w:szCs w:val="24"/>
        </w:rPr>
        <w:t>（6）变更基金类别；</w:t>
      </w:r>
    </w:p>
    <w:p w14:paraId="783D1B3E">
      <w:pPr>
        <w:spacing w:line="360" w:lineRule="auto"/>
        <w:ind w:firstLine="480" w:firstLineChars="200"/>
        <w:rPr>
          <w:bCs/>
          <w:sz w:val="24"/>
          <w:szCs w:val="24"/>
        </w:rPr>
      </w:pPr>
      <w:r>
        <w:rPr>
          <w:bCs/>
          <w:sz w:val="24"/>
          <w:szCs w:val="24"/>
        </w:rPr>
        <w:t>（7）本基金与其他基金的合并；</w:t>
      </w:r>
    </w:p>
    <w:p w14:paraId="5B4B1EBF">
      <w:pPr>
        <w:spacing w:line="360" w:lineRule="auto"/>
        <w:ind w:firstLine="480" w:firstLineChars="200"/>
        <w:rPr>
          <w:bCs/>
          <w:sz w:val="24"/>
          <w:szCs w:val="24"/>
        </w:rPr>
      </w:pPr>
      <w:r>
        <w:rPr>
          <w:bCs/>
          <w:sz w:val="24"/>
          <w:szCs w:val="24"/>
        </w:rPr>
        <w:t>（8）变更基金投资目标、范围或策略；</w:t>
      </w:r>
    </w:p>
    <w:p w14:paraId="6BE75DBA">
      <w:pPr>
        <w:spacing w:line="360" w:lineRule="auto"/>
        <w:ind w:firstLine="480" w:firstLineChars="200"/>
        <w:rPr>
          <w:bCs/>
          <w:sz w:val="24"/>
          <w:szCs w:val="24"/>
        </w:rPr>
      </w:pPr>
      <w:r>
        <w:rPr>
          <w:bCs/>
          <w:sz w:val="24"/>
          <w:szCs w:val="24"/>
        </w:rPr>
        <w:t>（9）变更基金份额持有人大会程序；</w:t>
      </w:r>
    </w:p>
    <w:p w14:paraId="26038855">
      <w:pPr>
        <w:spacing w:line="360" w:lineRule="auto"/>
        <w:ind w:firstLine="480" w:firstLineChars="200"/>
        <w:rPr>
          <w:bCs/>
          <w:sz w:val="24"/>
          <w:szCs w:val="24"/>
        </w:rPr>
      </w:pPr>
      <w:r>
        <w:rPr>
          <w:bCs/>
          <w:sz w:val="24"/>
          <w:szCs w:val="24"/>
        </w:rPr>
        <w:t>（10）基金管理人或基金托管人要求召开基金份额持有人大会；</w:t>
      </w:r>
    </w:p>
    <w:p w14:paraId="7091DDBF">
      <w:pPr>
        <w:spacing w:line="360" w:lineRule="auto"/>
        <w:ind w:firstLine="480" w:firstLineChars="200"/>
        <w:rPr>
          <w:bCs/>
          <w:sz w:val="24"/>
          <w:szCs w:val="24"/>
        </w:rPr>
      </w:pPr>
      <w:r>
        <w:rPr>
          <w:bCs/>
          <w:sz w:val="24"/>
          <w:szCs w:val="24"/>
        </w:rPr>
        <w:t>（11）单独或合计持有本基金总份额10%以上（含10%）基金份额的基金份额持有人（以基金管理人收到提议当日的基金份额计算，下同）就同一事项书面要求召开基金份额持有人大会；</w:t>
      </w:r>
    </w:p>
    <w:p w14:paraId="26F4E36C">
      <w:pPr>
        <w:spacing w:line="360" w:lineRule="auto"/>
        <w:ind w:firstLine="480" w:firstLineChars="200"/>
        <w:rPr>
          <w:bCs/>
          <w:sz w:val="24"/>
          <w:szCs w:val="24"/>
        </w:rPr>
      </w:pPr>
      <w:r>
        <w:rPr>
          <w:bCs/>
          <w:sz w:val="24"/>
          <w:szCs w:val="24"/>
        </w:rPr>
        <w:t>（12）对基金当事人权利和义务产生重大影响的其他事项；</w:t>
      </w:r>
    </w:p>
    <w:p w14:paraId="1BC5639A">
      <w:pPr>
        <w:spacing w:line="360" w:lineRule="auto"/>
        <w:ind w:firstLine="480" w:firstLineChars="200"/>
        <w:rPr>
          <w:bCs/>
          <w:sz w:val="24"/>
          <w:szCs w:val="24"/>
        </w:rPr>
      </w:pPr>
      <w:r>
        <w:rPr>
          <w:bCs/>
          <w:sz w:val="24"/>
          <w:szCs w:val="24"/>
        </w:rPr>
        <w:t>（13）法律法规、《基金合同》或中国证监会规定的其他应当召开基金份额持有人大会的事项。</w:t>
      </w:r>
    </w:p>
    <w:p w14:paraId="7E8ADBB7">
      <w:pPr>
        <w:spacing w:line="360" w:lineRule="auto"/>
        <w:ind w:firstLine="480" w:firstLineChars="200"/>
        <w:rPr>
          <w:bCs/>
          <w:sz w:val="24"/>
          <w:szCs w:val="24"/>
        </w:rPr>
      </w:pPr>
      <w:r>
        <w:rPr>
          <w:bCs/>
          <w:sz w:val="24"/>
          <w:szCs w:val="24"/>
        </w:rPr>
        <w:t>2、以下情况可由基金管理人和基金托管人协商后修改，不需召开基金份额持有人大会：</w:t>
      </w:r>
    </w:p>
    <w:p w14:paraId="301BF457">
      <w:pPr>
        <w:spacing w:line="360" w:lineRule="auto"/>
        <w:ind w:firstLine="480" w:firstLineChars="200"/>
        <w:rPr>
          <w:bCs/>
          <w:sz w:val="24"/>
          <w:szCs w:val="24"/>
        </w:rPr>
      </w:pPr>
      <w:r>
        <w:rPr>
          <w:bCs/>
          <w:sz w:val="24"/>
          <w:szCs w:val="24"/>
        </w:rPr>
        <w:t>（1）调低基金管理费、基金托管费</w:t>
      </w:r>
      <w:r>
        <w:rPr>
          <w:rFonts w:hint="eastAsia"/>
          <w:bCs/>
          <w:sz w:val="24"/>
          <w:szCs w:val="24"/>
        </w:rPr>
        <w:t>或其他应由基金承担的费用</w:t>
      </w:r>
      <w:r>
        <w:rPr>
          <w:bCs/>
          <w:sz w:val="24"/>
          <w:szCs w:val="24"/>
        </w:rPr>
        <w:t>；</w:t>
      </w:r>
    </w:p>
    <w:p w14:paraId="3B7986FF">
      <w:pPr>
        <w:spacing w:line="360" w:lineRule="auto"/>
        <w:ind w:firstLine="480" w:firstLineChars="200"/>
        <w:rPr>
          <w:bCs/>
          <w:sz w:val="24"/>
          <w:szCs w:val="24"/>
        </w:rPr>
      </w:pPr>
      <w:r>
        <w:rPr>
          <w:bCs/>
          <w:sz w:val="24"/>
          <w:szCs w:val="24"/>
        </w:rPr>
        <w:t>（2）法律法规要求增加的基金费用的收取；</w:t>
      </w:r>
    </w:p>
    <w:p w14:paraId="403CB2DD">
      <w:pPr>
        <w:spacing w:line="360" w:lineRule="auto"/>
        <w:ind w:firstLine="480" w:firstLineChars="200"/>
        <w:rPr>
          <w:bCs/>
          <w:sz w:val="24"/>
          <w:szCs w:val="24"/>
        </w:rPr>
      </w:pPr>
      <w:r>
        <w:rPr>
          <w:bCs/>
          <w:sz w:val="24"/>
          <w:szCs w:val="24"/>
        </w:rPr>
        <w:t>（3）在法律法规和《基金合同》规定的范围内</w:t>
      </w:r>
      <w:r>
        <w:rPr>
          <w:rFonts w:hint="eastAsia"/>
          <w:bCs/>
          <w:sz w:val="24"/>
          <w:szCs w:val="24"/>
        </w:rPr>
        <w:t>，对基金份额持有人利益无实质性不利影响的前提下，</w:t>
      </w:r>
      <w:r>
        <w:rPr>
          <w:bCs/>
          <w:sz w:val="24"/>
          <w:szCs w:val="24"/>
        </w:rPr>
        <w:t>调整本基金的申购费率、赎回费率</w:t>
      </w:r>
      <w:r>
        <w:rPr>
          <w:rFonts w:hint="eastAsia"/>
          <w:bCs/>
          <w:sz w:val="24"/>
          <w:szCs w:val="24"/>
        </w:rPr>
        <w:t>，</w:t>
      </w:r>
      <w:r>
        <w:rPr>
          <w:rFonts w:hint="eastAsia" w:ascii="宋体" w:hAnsi="宋体"/>
          <w:sz w:val="24"/>
        </w:rPr>
        <w:t>调低销售服务费率，</w:t>
      </w:r>
      <w:r>
        <w:rPr>
          <w:rFonts w:hint="eastAsia"/>
          <w:bCs/>
          <w:sz w:val="24"/>
          <w:szCs w:val="24"/>
        </w:rPr>
        <w:t>调整收费方式、增加新的基金份额类别</w:t>
      </w:r>
      <w:r>
        <w:rPr>
          <w:bCs/>
          <w:sz w:val="24"/>
          <w:szCs w:val="24"/>
        </w:rPr>
        <w:t>；</w:t>
      </w:r>
    </w:p>
    <w:p w14:paraId="73A69409">
      <w:pPr>
        <w:spacing w:line="360" w:lineRule="auto"/>
        <w:ind w:firstLine="480" w:firstLineChars="200"/>
        <w:rPr>
          <w:bCs/>
          <w:sz w:val="24"/>
          <w:szCs w:val="24"/>
        </w:rPr>
      </w:pPr>
      <w:r>
        <w:rPr>
          <w:bCs/>
          <w:sz w:val="24"/>
          <w:szCs w:val="24"/>
        </w:rPr>
        <w:t>（4）因相应的法律法规发生变动而应当对《基金合同》进行修改；</w:t>
      </w:r>
    </w:p>
    <w:p w14:paraId="588A0F9C">
      <w:pPr>
        <w:spacing w:line="360" w:lineRule="auto"/>
        <w:ind w:firstLine="480" w:firstLineChars="200"/>
        <w:rPr>
          <w:bCs/>
          <w:sz w:val="24"/>
          <w:szCs w:val="24"/>
        </w:rPr>
      </w:pPr>
      <w:r>
        <w:rPr>
          <w:bCs/>
          <w:sz w:val="24"/>
          <w:szCs w:val="24"/>
        </w:rPr>
        <w:t>（5）对《基金合同》的修改对基金份额持有人利益无实质性不利影响或修改不涉及《基金合同》当事人权利义务关系发生</w:t>
      </w:r>
      <w:r>
        <w:rPr>
          <w:rFonts w:hint="eastAsia"/>
          <w:bCs/>
          <w:sz w:val="24"/>
          <w:szCs w:val="24"/>
        </w:rPr>
        <w:t>重大</w:t>
      </w:r>
      <w:r>
        <w:rPr>
          <w:bCs/>
          <w:sz w:val="24"/>
          <w:szCs w:val="24"/>
        </w:rPr>
        <w:t>变化；</w:t>
      </w:r>
    </w:p>
    <w:p w14:paraId="4385B4B4">
      <w:pPr>
        <w:spacing w:line="360" w:lineRule="auto"/>
        <w:ind w:firstLine="480" w:firstLineChars="200"/>
        <w:rPr>
          <w:bCs/>
          <w:sz w:val="24"/>
          <w:szCs w:val="24"/>
        </w:rPr>
      </w:pPr>
      <w:r>
        <w:rPr>
          <w:bCs/>
          <w:sz w:val="24"/>
          <w:szCs w:val="24"/>
        </w:rPr>
        <w:t>（6）</w:t>
      </w:r>
      <w:r>
        <w:rPr>
          <w:rFonts w:hint="eastAsia"/>
          <w:bCs/>
          <w:sz w:val="24"/>
          <w:szCs w:val="24"/>
        </w:rPr>
        <w:t>在对基金份额持有人利益无实质性不利影响的前提下，基金管理人、登记机构、基金销售机构在法律法规规定或中国证监会许可的范围内调整有关认购、申购、赎回、转换、非交易过户、转托管等业务规则；</w:t>
      </w:r>
    </w:p>
    <w:p w14:paraId="7B723FD8">
      <w:pPr>
        <w:spacing w:line="360" w:lineRule="auto"/>
        <w:ind w:firstLine="480" w:firstLineChars="200"/>
        <w:rPr>
          <w:bCs/>
          <w:sz w:val="24"/>
          <w:szCs w:val="24"/>
        </w:rPr>
      </w:pPr>
      <w:r>
        <w:rPr>
          <w:rFonts w:hint="eastAsia"/>
          <w:bCs/>
          <w:sz w:val="24"/>
          <w:szCs w:val="24"/>
        </w:rPr>
        <w:t>（7）在法律法规规定的范围内且在对基金份额持有人利益无实质性不利影响的前提下，基金推出新业务或服务；</w:t>
      </w:r>
    </w:p>
    <w:p w14:paraId="6908353B">
      <w:pPr>
        <w:spacing w:line="360" w:lineRule="auto"/>
        <w:ind w:firstLine="480" w:firstLineChars="200"/>
        <w:rPr>
          <w:bCs/>
          <w:sz w:val="24"/>
          <w:szCs w:val="24"/>
        </w:rPr>
      </w:pPr>
      <w:r>
        <w:rPr>
          <w:bCs/>
          <w:sz w:val="24"/>
          <w:szCs w:val="24"/>
        </w:rPr>
        <w:t>（</w:t>
      </w:r>
      <w:r>
        <w:rPr>
          <w:rFonts w:hint="eastAsia"/>
          <w:bCs/>
          <w:sz w:val="24"/>
          <w:szCs w:val="24"/>
        </w:rPr>
        <w:t>8</w:t>
      </w:r>
      <w:r>
        <w:rPr>
          <w:bCs/>
          <w:sz w:val="24"/>
          <w:szCs w:val="24"/>
        </w:rPr>
        <w:t>）按照法律法规和《基金合同》规定不需召开基金份额持有人大会的其他情形。</w:t>
      </w:r>
    </w:p>
    <w:p w14:paraId="7AEF0AB2">
      <w:pPr>
        <w:spacing w:line="360" w:lineRule="auto"/>
        <w:ind w:firstLine="480" w:firstLineChars="200"/>
        <w:rPr>
          <w:bCs/>
          <w:sz w:val="24"/>
          <w:szCs w:val="24"/>
        </w:rPr>
      </w:pPr>
      <w:r>
        <w:rPr>
          <w:rFonts w:hint="eastAsia"/>
          <w:bCs/>
          <w:sz w:val="24"/>
          <w:szCs w:val="24"/>
        </w:rPr>
        <w:t>（二）</w:t>
      </w:r>
      <w:r>
        <w:rPr>
          <w:bCs/>
          <w:sz w:val="24"/>
          <w:szCs w:val="24"/>
        </w:rPr>
        <w:t>会议召集人及召集方式</w:t>
      </w:r>
    </w:p>
    <w:p w14:paraId="3F7A4EF1">
      <w:pPr>
        <w:spacing w:line="360" w:lineRule="auto"/>
        <w:ind w:firstLine="480" w:firstLineChars="200"/>
        <w:rPr>
          <w:bCs/>
          <w:sz w:val="24"/>
          <w:szCs w:val="24"/>
        </w:rPr>
      </w:pPr>
      <w:r>
        <w:rPr>
          <w:bCs/>
          <w:sz w:val="24"/>
          <w:szCs w:val="24"/>
        </w:rPr>
        <w:t>1、</w:t>
      </w:r>
      <w:r>
        <w:rPr>
          <w:rFonts w:hint="eastAsia"/>
          <w:bCs/>
          <w:sz w:val="24"/>
          <w:szCs w:val="24"/>
        </w:rPr>
        <w:t>本基金基金份额持有人大会不设立日常机构。</w:t>
      </w:r>
    </w:p>
    <w:p w14:paraId="52334C31">
      <w:pPr>
        <w:spacing w:line="360" w:lineRule="auto"/>
        <w:ind w:firstLine="480" w:firstLineChars="200"/>
        <w:rPr>
          <w:bCs/>
          <w:sz w:val="24"/>
          <w:szCs w:val="24"/>
        </w:rPr>
      </w:pPr>
      <w:r>
        <w:rPr>
          <w:rFonts w:hint="eastAsia"/>
          <w:bCs/>
          <w:sz w:val="24"/>
          <w:szCs w:val="24"/>
        </w:rPr>
        <w:t>2、</w:t>
      </w:r>
      <w:r>
        <w:rPr>
          <w:bCs/>
          <w:sz w:val="24"/>
          <w:szCs w:val="24"/>
        </w:rPr>
        <w:t>除法律法规规定或《基金合同》另有约定外，基金份额持有人大会由基金管理人召集；</w:t>
      </w:r>
    </w:p>
    <w:p w14:paraId="14FEC912">
      <w:pPr>
        <w:spacing w:line="360" w:lineRule="auto"/>
        <w:ind w:firstLine="480" w:firstLineChars="200"/>
        <w:rPr>
          <w:bCs/>
          <w:sz w:val="24"/>
          <w:szCs w:val="24"/>
        </w:rPr>
      </w:pPr>
      <w:r>
        <w:rPr>
          <w:rFonts w:hint="eastAsia"/>
          <w:bCs/>
          <w:sz w:val="24"/>
          <w:szCs w:val="24"/>
        </w:rPr>
        <w:t>3</w:t>
      </w:r>
      <w:r>
        <w:rPr>
          <w:bCs/>
          <w:sz w:val="24"/>
          <w:szCs w:val="24"/>
        </w:rPr>
        <w:t>、基金管理人未按规定召集或不能</w:t>
      </w:r>
      <w:r>
        <w:rPr>
          <w:rFonts w:hint="eastAsia"/>
          <w:bCs/>
          <w:sz w:val="24"/>
          <w:szCs w:val="24"/>
        </w:rPr>
        <w:t>召开</w:t>
      </w:r>
      <w:r>
        <w:rPr>
          <w:bCs/>
          <w:sz w:val="24"/>
          <w:szCs w:val="24"/>
        </w:rPr>
        <w:t>时，由基金托管人召集；</w:t>
      </w:r>
    </w:p>
    <w:p w14:paraId="0D748624">
      <w:pPr>
        <w:spacing w:line="360" w:lineRule="auto"/>
        <w:ind w:firstLine="480" w:firstLineChars="200"/>
        <w:rPr>
          <w:bCs/>
          <w:sz w:val="24"/>
          <w:szCs w:val="24"/>
        </w:rPr>
      </w:pPr>
      <w:r>
        <w:rPr>
          <w:rFonts w:hint="eastAsia"/>
          <w:bCs/>
          <w:sz w:val="24"/>
          <w:szCs w:val="24"/>
        </w:rPr>
        <w:t>4</w:t>
      </w:r>
      <w:r>
        <w:rPr>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bCs/>
          <w:sz w:val="24"/>
          <w:szCs w:val="24"/>
        </w:rPr>
        <w:t xml:space="preserve">日内决定是否召集，并书面告知基金托管人。基金管理人决定召集的，应当自出具书面决定之日起       </w:t>
      </w:r>
    </w:p>
    <w:p w14:paraId="4A4ADB4F">
      <w:pPr>
        <w:spacing w:line="360" w:lineRule="auto"/>
        <w:rPr>
          <w:bCs/>
          <w:sz w:val="24"/>
          <w:szCs w:val="24"/>
        </w:rPr>
      </w:pPr>
      <w:r>
        <w:rPr>
          <w:rFonts w:hint="eastAsia"/>
          <w:bCs/>
          <w:sz w:val="24"/>
          <w:szCs w:val="24"/>
        </w:rPr>
        <w:t>60</w:t>
      </w:r>
      <w:r>
        <w:rPr>
          <w:bCs/>
          <w:sz w:val="24"/>
          <w:szCs w:val="24"/>
        </w:rPr>
        <w:t>日内召开；基金管理人决定不召集，基金托管人仍认为有必要召开的，应当由基金托管人自行召集</w:t>
      </w:r>
      <w:r>
        <w:rPr>
          <w:rFonts w:hint="eastAsia"/>
          <w:bCs/>
          <w:sz w:val="24"/>
          <w:szCs w:val="24"/>
        </w:rPr>
        <w:t>，并自出具书面决定之日起60日内召开并告知基金管理人，基金管理人应当配合</w:t>
      </w:r>
      <w:r>
        <w:rPr>
          <w:bCs/>
          <w:sz w:val="24"/>
          <w:szCs w:val="24"/>
        </w:rPr>
        <w:t>。</w:t>
      </w:r>
    </w:p>
    <w:p w14:paraId="34CC436F">
      <w:pPr>
        <w:spacing w:line="360" w:lineRule="auto"/>
        <w:ind w:firstLine="480" w:firstLineChars="200"/>
        <w:rPr>
          <w:bCs/>
          <w:sz w:val="24"/>
          <w:szCs w:val="24"/>
        </w:rPr>
      </w:pPr>
      <w:r>
        <w:rPr>
          <w:rFonts w:hint="eastAsia"/>
          <w:bCs/>
          <w:sz w:val="24"/>
          <w:szCs w:val="24"/>
        </w:rPr>
        <w:t>5</w:t>
      </w:r>
      <w:r>
        <w:rPr>
          <w:bCs/>
          <w:sz w:val="24"/>
          <w:szCs w:val="24"/>
        </w:rPr>
        <w:t>、代表基金份额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bCs/>
          <w:sz w:val="24"/>
          <w:szCs w:val="24"/>
        </w:rPr>
        <w:t>日内决定是否召集，并书面告知提出提议的基金份额持有人代表和基金托管人。基金管理人决定召集的，应当自出具书面决定之日起</w:t>
      </w:r>
    </w:p>
    <w:p w14:paraId="1B43DC15">
      <w:pPr>
        <w:spacing w:line="360" w:lineRule="auto"/>
        <w:rPr>
          <w:bCs/>
          <w:sz w:val="24"/>
          <w:szCs w:val="24"/>
        </w:rPr>
      </w:pPr>
      <w:r>
        <w:rPr>
          <w:rFonts w:hint="eastAsia"/>
          <w:bCs/>
          <w:sz w:val="24"/>
          <w:szCs w:val="24"/>
        </w:rPr>
        <w:t>60</w:t>
      </w:r>
      <w:r>
        <w:rPr>
          <w:bCs/>
          <w:sz w:val="24"/>
          <w:szCs w:val="24"/>
        </w:rPr>
        <w:t>日内召开；基金管理人决定不召集，代表基金份额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）的基金份额持有人仍认为有必要召开的，应当向基金托管人提出书面提议。基金托管人应当自收到书面提议之日起</w:t>
      </w:r>
      <w:r>
        <w:rPr>
          <w:rFonts w:hint="eastAsia"/>
          <w:bCs/>
          <w:sz w:val="24"/>
          <w:szCs w:val="24"/>
        </w:rPr>
        <w:t>10</w:t>
      </w:r>
      <w:r>
        <w:rPr>
          <w:bCs/>
          <w:sz w:val="24"/>
          <w:szCs w:val="24"/>
        </w:rPr>
        <w:t>日内决定是否召集，并书面告知提出提议的基金份额持有人代表和基金管理人；基金托管人决定召集的，应当自出具书面决定之日起60日内召开</w:t>
      </w:r>
      <w:r>
        <w:rPr>
          <w:rFonts w:hint="eastAsia"/>
          <w:bCs/>
          <w:sz w:val="24"/>
          <w:szCs w:val="24"/>
        </w:rPr>
        <w:t>并告知基金管理人，基金管理人应当配合</w:t>
      </w:r>
      <w:r>
        <w:rPr>
          <w:bCs/>
          <w:sz w:val="24"/>
          <w:szCs w:val="24"/>
        </w:rPr>
        <w:t>。</w:t>
      </w:r>
    </w:p>
    <w:p w14:paraId="155ED48B">
      <w:pPr>
        <w:spacing w:line="360" w:lineRule="auto"/>
        <w:ind w:firstLine="480" w:firstLineChars="200"/>
        <w:rPr>
          <w:bCs/>
          <w:sz w:val="24"/>
          <w:szCs w:val="24"/>
        </w:rPr>
      </w:pPr>
      <w:r>
        <w:rPr>
          <w:rFonts w:hint="eastAsia"/>
          <w:bCs/>
          <w:sz w:val="24"/>
          <w:szCs w:val="24"/>
        </w:rPr>
        <w:t>6</w:t>
      </w:r>
      <w:r>
        <w:rPr>
          <w:bCs/>
          <w:sz w:val="24"/>
          <w:szCs w:val="24"/>
        </w:rPr>
        <w:t>、代表基金份额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bCs/>
          <w:sz w:val="24"/>
          <w:szCs w:val="24"/>
        </w:rPr>
        <w:t>以上（含</w:t>
      </w:r>
      <w:r>
        <w:rPr>
          <w:rFonts w:hint="eastAsia"/>
          <w:bCs/>
          <w:sz w:val="24"/>
          <w:szCs w:val="24"/>
        </w:rPr>
        <w:t>10%</w:t>
      </w:r>
      <w:r>
        <w:rPr>
          <w:bCs/>
          <w:sz w:val="24"/>
          <w:szCs w:val="24"/>
        </w:rPr>
        <w:t>）的基金份额持有人有权自行召集，并至少提前30日报中国证监会备案。基金份额持有人依法自行召集基金份额持有人大会的，基金管理人、基金托管人应当配合，不得阻碍、干扰。</w:t>
      </w:r>
    </w:p>
    <w:p w14:paraId="720C93D6">
      <w:pPr>
        <w:spacing w:line="360" w:lineRule="auto"/>
        <w:ind w:firstLine="480" w:firstLineChars="200"/>
        <w:rPr>
          <w:bCs/>
          <w:sz w:val="24"/>
          <w:szCs w:val="24"/>
        </w:rPr>
      </w:pPr>
      <w:r>
        <w:rPr>
          <w:rFonts w:hint="eastAsia"/>
          <w:bCs/>
          <w:sz w:val="24"/>
          <w:szCs w:val="24"/>
        </w:rPr>
        <w:t>7</w:t>
      </w:r>
      <w:r>
        <w:rPr>
          <w:bCs/>
          <w:sz w:val="24"/>
          <w:szCs w:val="24"/>
        </w:rPr>
        <w:t>、基金份额持有人会议的召集人负责选择确定开会时间、地点、方式和权益登记日。</w:t>
      </w:r>
    </w:p>
    <w:p w14:paraId="6790738C">
      <w:pPr>
        <w:spacing w:line="360" w:lineRule="auto"/>
        <w:ind w:firstLine="480" w:firstLineChars="200"/>
        <w:rPr>
          <w:bCs/>
          <w:sz w:val="24"/>
          <w:szCs w:val="24"/>
        </w:rPr>
      </w:pPr>
      <w:r>
        <w:rPr>
          <w:rFonts w:hint="eastAsia"/>
          <w:bCs/>
          <w:sz w:val="24"/>
          <w:szCs w:val="24"/>
        </w:rPr>
        <w:t>（三）</w:t>
      </w:r>
      <w:r>
        <w:rPr>
          <w:bCs/>
          <w:sz w:val="24"/>
          <w:szCs w:val="24"/>
        </w:rPr>
        <w:t>召开基金份额持有人大会的通知时间、通知内容、通知方式</w:t>
      </w:r>
    </w:p>
    <w:p w14:paraId="2BADB6F9">
      <w:pPr>
        <w:spacing w:line="360" w:lineRule="auto"/>
        <w:ind w:firstLine="480" w:firstLineChars="200"/>
        <w:rPr>
          <w:bCs/>
          <w:sz w:val="24"/>
          <w:szCs w:val="24"/>
        </w:rPr>
      </w:pPr>
      <w:r>
        <w:rPr>
          <w:bCs/>
          <w:sz w:val="24"/>
          <w:szCs w:val="24"/>
        </w:rPr>
        <w:t>1、召开基金份额持有人大会，召集人应于会议召开前</w:t>
      </w:r>
      <w:r>
        <w:rPr>
          <w:rFonts w:hint="eastAsia"/>
          <w:bCs/>
          <w:sz w:val="24"/>
          <w:szCs w:val="24"/>
        </w:rPr>
        <w:t>30</w:t>
      </w:r>
      <w:r>
        <w:rPr>
          <w:bCs/>
          <w:sz w:val="24"/>
          <w:szCs w:val="24"/>
        </w:rPr>
        <w:t>日，在指定媒介公告。基金份额持有人大会通知应至少载明以下内容：</w:t>
      </w:r>
    </w:p>
    <w:p w14:paraId="425144A0">
      <w:pPr>
        <w:spacing w:line="360" w:lineRule="auto"/>
        <w:ind w:firstLine="480" w:firstLineChars="200"/>
        <w:rPr>
          <w:bCs/>
          <w:sz w:val="24"/>
          <w:szCs w:val="24"/>
        </w:rPr>
      </w:pPr>
      <w:r>
        <w:rPr>
          <w:bCs/>
          <w:sz w:val="24"/>
          <w:szCs w:val="24"/>
        </w:rPr>
        <w:t>（1）会议召开的时间、地点和会议形式；</w:t>
      </w:r>
    </w:p>
    <w:p w14:paraId="42C2839E">
      <w:pPr>
        <w:spacing w:line="360" w:lineRule="auto"/>
        <w:ind w:firstLine="480" w:firstLineChars="200"/>
        <w:rPr>
          <w:bCs/>
          <w:sz w:val="24"/>
          <w:szCs w:val="24"/>
        </w:rPr>
      </w:pPr>
      <w:r>
        <w:rPr>
          <w:bCs/>
          <w:sz w:val="24"/>
          <w:szCs w:val="24"/>
        </w:rPr>
        <w:t>（2）会议拟审议的事项、议事程序和表决方式；</w:t>
      </w:r>
    </w:p>
    <w:p w14:paraId="3B4027E7">
      <w:pPr>
        <w:spacing w:line="360" w:lineRule="auto"/>
        <w:ind w:firstLine="480" w:firstLineChars="200"/>
        <w:rPr>
          <w:bCs/>
          <w:sz w:val="24"/>
          <w:szCs w:val="24"/>
        </w:rPr>
      </w:pPr>
      <w:r>
        <w:rPr>
          <w:bCs/>
          <w:sz w:val="24"/>
          <w:szCs w:val="24"/>
        </w:rPr>
        <w:t>（3）有权出席基金份额持有人大会的基金份额持有人的权益登记日；</w:t>
      </w:r>
    </w:p>
    <w:p w14:paraId="2747AB27">
      <w:pPr>
        <w:spacing w:line="360" w:lineRule="auto"/>
        <w:ind w:firstLine="480" w:firstLineChars="200"/>
        <w:rPr>
          <w:bCs/>
          <w:sz w:val="24"/>
          <w:szCs w:val="24"/>
        </w:rPr>
      </w:pPr>
      <w:r>
        <w:rPr>
          <w:bCs/>
          <w:sz w:val="24"/>
          <w:szCs w:val="24"/>
        </w:rPr>
        <w:t>（4）授权委托证明的内容要求（包括但不限于代理人身份，代理权限和代理有效期限等）、送达时间和地点;</w:t>
      </w:r>
    </w:p>
    <w:p w14:paraId="037DAFAB">
      <w:pPr>
        <w:spacing w:line="360" w:lineRule="auto"/>
        <w:ind w:firstLine="480" w:firstLineChars="200"/>
        <w:rPr>
          <w:bCs/>
          <w:sz w:val="24"/>
          <w:szCs w:val="24"/>
        </w:rPr>
      </w:pPr>
      <w:r>
        <w:rPr>
          <w:bCs/>
          <w:sz w:val="24"/>
          <w:szCs w:val="24"/>
        </w:rPr>
        <w:t>（5）会务常设联系人姓名及联系电话；</w:t>
      </w:r>
    </w:p>
    <w:p w14:paraId="07C8E4F4">
      <w:pPr>
        <w:spacing w:line="360" w:lineRule="auto"/>
        <w:ind w:firstLine="480" w:firstLineChars="200"/>
        <w:rPr>
          <w:bCs/>
          <w:sz w:val="24"/>
          <w:szCs w:val="24"/>
        </w:rPr>
      </w:pPr>
      <w:r>
        <w:rPr>
          <w:bCs/>
          <w:sz w:val="24"/>
          <w:szCs w:val="24"/>
        </w:rPr>
        <w:t>（6）出席会议者必须准备的文件和必须履行的手续；</w:t>
      </w:r>
    </w:p>
    <w:p w14:paraId="41041019">
      <w:pPr>
        <w:spacing w:line="360" w:lineRule="auto"/>
        <w:ind w:firstLine="480" w:firstLineChars="200"/>
        <w:rPr>
          <w:bCs/>
          <w:sz w:val="24"/>
          <w:szCs w:val="24"/>
        </w:rPr>
      </w:pPr>
      <w:r>
        <w:rPr>
          <w:bCs/>
          <w:sz w:val="24"/>
          <w:szCs w:val="24"/>
        </w:rPr>
        <w:t>（7）召集人需要通知的其他事项。</w:t>
      </w:r>
    </w:p>
    <w:p w14:paraId="53EA7668">
      <w:pPr>
        <w:spacing w:line="360" w:lineRule="auto"/>
        <w:ind w:firstLine="480" w:firstLineChars="200"/>
        <w:rPr>
          <w:bCs/>
          <w:sz w:val="24"/>
          <w:szCs w:val="24"/>
        </w:rPr>
      </w:pPr>
      <w:r>
        <w:rPr>
          <w:bCs/>
          <w:sz w:val="24"/>
          <w:szCs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4CD6020">
      <w:pPr>
        <w:spacing w:line="360" w:lineRule="auto"/>
        <w:ind w:firstLine="480" w:firstLineChars="200"/>
        <w:rPr>
          <w:bCs/>
          <w:sz w:val="24"/>
          <w:szCs w:val="24"/>
        </w:rPr>
      </w:pPr>
      <w:r>
        <w:rPr>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5ED9E7E">
      <w:pPr>
        <w:spacing w:line="360" w:lineRule="auto"/>
        <w:ind w:firstLine="480" w:firstLineChars="200"/>
        <w:rPr>
          <w:bCs/>
          <w:sz w:val="24"/>
          <w:szCs w:val="24"/>
        </w:rPr>
      </w:pPr>
      <w:r>
        <w:rPr>
          <w:rFonts w:hint="eastAsia"/>
          <w:bCs/>
          <w:sz w:val="24"/>
          <w:szCs w:val="24"/>
        </w:rPr>
        <w:t>（四）</w:t>
      </w:r>
      <w:r>
        <w:rPr>
          <w:bCs/>
          <w:sz w:val="24"/>
          <w:szCs w:val="24"/>
        </w:rPr>
        <w:t>基金份额持有人出席会议的方式</w:t>
      </w:r>
    </w:p>
    <w:p w14:paraId="77E60CB4">
      <w:pPr>
        <w:spacing w:line="360" w:lineRule="auto"/>
        <w:ind w:firstLine="480" w:firstLineChars="200"/>
        <w:rPr>
          <w:bCs/>
          <w:sz w:val="24"/>
          <w:szCs w:val="24"/>
        </w:rPr>
      </w:pPr>
      <w:r>
        <w:rPr>
          <w:bCs/>
          <w:sz w:val="24"/>
          <w:szCs w:val="24"/>
        </w:rPr>
        <w:t>基金份额持有人大会可通过现场开会方式或通讯开会方式</w:t>
      </w:r>
      <w:r>
        <w:rPr>
          <w:rFonts w:hint="eastAsia"/>
          <w:bCs/>
          <w:sz w:val="24"/>
          <w:szCs w:val="24"/>
        </w:rPr>
        <w:t>及法律法规、中国证监会允许的其他方式</w:t>
      </w:r>
      <w:r>
        <w:rPr>
          <w:bCs/>
          <w:sz w:val="24"/>
          <w:szCs w:val="24"/>
        </w:rPr>
        <w:t>召开，会议的召开方式由会议召集人确定。</w:t>
      </w:r>
    </w:p>
    <w:p w14:paraId="4F8259CA">
      <w:pPr>
        <w:spacing w:line="360" w:lineRule="auto"/>
        <w:ind w:firstLine="480" w:firstLineChars="200"/>
        <w:rPr>
          <w:bCs/>
          <w:sz w:val="24"/>
          <w:szCs w:val="24"/>
        </w:rPr>
      </w:pPr>
      <w:r>
        <w:rPr>
          <w:bCs/>
          <w:sz w:val="24"/>
          <w:szCs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szCs w:val="24"/>
        </w:rPr>
        <w:t>基金</w:t>
      </w:r>
      <w:r>
        <w:rPr>
          <w:bCs/>
          <w:sz w:val="24"/>
          <w:szCs w:val="24"/>
        </w:rPr>
        <w:t>托管人不派代表列席的，不影响表决效力。现场开会同时符合以下条件时，可以进行基金份额持有人大会议程：</w:t>
      </w:r>
    </w:p>
    <w:p w14:paraId="56BB72B9">
      <w:pPr>
        <w:spacing w:line="360" w:lineRule="auto"/>
        <w:ind w:firstLine="480" w:firstLineChars="200"/>
        <w:rPr>
          <w:bCs/>
          <w:sz w:val="24"/>
          <w:szCs w:val="24"/>
        </w:rPr>
      </w:pPr>
      <w:r>
        <w:rPr>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2D02F6">
      <w:pPr>
        <w:spacing w:line="360" w:lineRule="auto"/>
        <w:ind w:firstLine="480" w:firstLineChars="200"/>
        <w:rPr>
          <w:bCs/>
          <w:sz w:val="24"/>
          <w:szCs w:val="24"/>
        </w:rPr>
      </w:pPr>
      <w:r>
        <w:rPr>
          <w:bCs/>
          <w:sz w:val="24"/>
          <w:szCs w:val="24"/>
        </w:rPr>
        <w:t>（2）经核对，汇总到会者出示的在权益登记日持有基金份额的凭证显示，有效的基金份额不少于本基金在权益登记日基金总份额的</w:t>
      </w:r>
      <w:r>
        <w:rPr>
          <w:rFonts w:hint="eastAsia"/>
          <w:bCs/>
          <w:sz w:val="24"/>
          <w:szCs w:val="24"/>
        </w:rPr>
        <w:t>50%</w:t>
      </w:r>
      <w:r>
        <w:rPr>
          <w:bCs/>
          <w:sz w:val="24"/>
          <w:szCs w:val="24"/>
        </w:rPr>
        <w:t>（含</w:t>
      </w:r>
      <w:r>
        <w:rPr>
          <w:rFonts w:hint="eastAsia"/>
          <w:bCs/>
          <w:sz w:val="24"/>
          <w:szCs w:val="24"/>
        </w:rPr>
        <w:t>50%</w:t>
      </w:r>
      <w:r>
        <w:rPr>
          <w:bCs/>
          <w:sz w:val="24"/>
          <w:szCs w:val="24"/>
        </w:rPr>
        <w:t>）。</w:t>
      </w:r>
    </w:p>
    <w:p w14:paraId="09D79CD1">
      <w:pPr>
        <w:spacing w:line="360" w:lineRule="auto"/>
        <w:ind w:firstLine="480" w:firstLineChars="200"/>
        <w:rPr>
          <w:bCs/>
          <w:sz w:val="24"/>
          <w:szCs w:val="24"/>
        </w:rPr>
      </w:pPr>
      <w:r>
        <w:rPr>
          <w:bCs/>
          <w:sz w:val="24"/>
          <w:szCs w:val="24"/>
        </w:rPr>
        <w:t>2、通讯开会。通讯开会系指基金份额持有人将其对表决事项的投票以书面形式</w:t>
      </w:r>
      <w:r>
        <w:rPr>
          <w:rFonts w:hint="eastAsia"/>
          <w:bCs/>
          <w:sz w:val="24"/>
          <w:szCs w:val="24"/>
        </w:rPr>
        <w:t>或大会公告载明的其他方式</w:t>
      </w:r>
      <w:r>
        <w:rPr>
          <w:bCs/>
          <w:sz w:val="24"/>
          <w:szCs w:val="24"/>
        </w:rPr>
        <w:t>在表决截至日以前送达至召集人指定的地址。通讯开会应以书面方式</w:t>
      </w:r>
      <w:r>
        <w:rPr>
          <w:rFonts w:hint="eastAsia"/>
          <w:bCs/>
          <w:sz w:val="24"/>
          <w:szCs w:val="24"/>
        </w:rPr>
        <w:t>或大会公告载明的其他方式</w:t>
      </w:r>
      <w:r>
        <w:rPr>
          <w:bCs/>
          <w:sz w:val="24"/>
          <w:szCs w:val="24"/>
        </w:rPr>
        <w:t>进行表决。</w:t>
      </w:r>
    </w:p>
    <w:p w14:paraId="2FA7C4BC">
      <w:pPr>
        <w:spacing w:line="360" w:lineRule="auto"/>
        <w:ind w:firstLine="480" w:firstLineChars="200"/>
        <w:rPr>
          <w:bCs/>
          <w:sz w:val="24"/>
          <w:szCs w:val="24"/>
        </w:rPr>
      </w:pPr>
      <w:r>
        <w:rPr>
          <w:bCs/>
          <w:sz w:val="24"/>
          <w:szCs w:val="24"/>
        </w:rPr>
        <w:t>在同时符合以下条件时，通讯开会的方式视为有效：</w:t>
      </w:r>
    </w:p>
    <w:p w14:paraId="52332CB9">
      <w:pPr>
        <w:spacing w:line="360" w:lineRule="auto"/>
        <w:ind w:firstLine="480" w:firstLineChars="200"/>
        <w:rPr>
          <w:bCs/>
          <w:sz w:val="24"/>
          <w:szCs w:val="24"/>
        </w:rPr>
      </w:pPr>
      <w:r>
        <w:rPr>
          <w:bCs/>
          <w:sz w:val="24"/>
          <w:szCs w:val="24"/>
        </w:rPr>
        <w:t>（1）会议召集人按《基金合同》约定公布会议通知后，在</w:t>
      </w:r>
      <w:r>
        <w:rPr>
          <w:rFonts w:hint="eastAsia"/>
          <w:bCs/>
          <w:sz w:val="24"/>
          <w:szCs w:val="24"/>
        </w:rPr>
        <w:t>2</w:t>
      </w:r>
      <w:r>
        <w:rPr>
          <w:bCs/>
          <w:sz w:val="24"/>
          <w:szCs w:val="24"/>
        </w:rPr>
        <w:t>个工作日内连续公布相关提示性公告；</w:t>
      </w:r>
    </w:p>
    <w:p w14:paraId="1047998A">
      <w:pPr>
        <w:spacing w:line="360" w:lineRule="auto"/>
        <w:ind w:firstLine="480" w:firstLineChars="200"/>
        <w:rPr>
          <w:bCs/>
          <w:sz w:val="24"/>
          <w:szCs w:val="24"/>
        </w:rPr>
      </w:pPr>
      <w:r>
        <w:rPr>
          <w:bCs/>
          <w:sz w:val="24"/>
          <w:szCs w:val="24"/>
        </w:rPr>
        <w:t>（2）召集人按基金合同</w:t>
      </w:r>
      <w:r>
        <w:rPr>
          <w:rFonts w:hint="eastAsia"/>
          <w:bCs/>
          <w:sz w:val="24"/>
          <w:szCs w:val="24"/>
        </w:rPr>
        <w:t>约</w:t>
      </w:r>
      <w:r>
        <w:rPr>
          <w:bCs/>
          <w:sz w:val="24"/>
          <w:szCs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5D9FEED">
      <w:pPr>
        <w:spacing w:line="360" w:lineRule="auto"/>
        <w:ind w:firstLine="480" w:firstLineChars="200"/>
        <w:rPr>
          <w:bCs/>
          <w:sz w:val="24"/>
          <w:szCs w:val="24"/>
        </w:rPr>
      </w:pPr>
      <w:r>
        <w:rPr>
          <w:bCs/>
          <w:sz w:val="24"/>
          <w:szCs w:val="24"/>
        </w:rPr>
        <w:t>（3）本人直接出具书面意见或授权他人代表出具书面意见的，基金份额持有人所持有的基金份额不小于在权益登记日基金总份额的</w:t>
      </w:r>
      <w:r>
        <w:rPr>
          <w:rFonts w:hint="eastAsia"/>
          <w:bCs/>
          <w:sz w:val="24"/>
          <w:szCs w:val="24"/>
        </w:rPr>
        <w:t>50%</w:t>
      </w:r>
      <w:r>
        <w:rPr>
          <w:bCs/>
          <w:sz w:val="24"/>
          <w:szCs w:val="24"/>
        </w:rPr>
        <w:t>（含</w:t>
      </w:r>
      <w:r>
        <w:rPr>
          <w:rFonts w:hint="eastAsia"/>
          <w:bCs/>
          <w:sz w:val="24"/>
          <w:szCs w:val="24"/>
        </w:rPr>
        <w:t>50%</w:t>
      </w:r>
      <w:r>
        <w:rPr>
          <w:bCs/>
          <w:sz w:val="24"/>
          <w:szCs w:val="24"/>
        </w:rPr>
        <w:t>）；</w:t>
      </w:r>
    </w:p>
    <w:p w14:paraId="3715A1FD">
      <w:pPr>
        <w:spacing w:line="360" w:lineRule="auto"/>
        <w:ind w:firstLine="480" w:firstLineChars="200"/>
        <w:rPr>
          <w:bCs/>
          <w:sz w:val="24"/>
          <w:szCs w:val="24"/>
        </w:rPr>
      </w:pPr>
      <w:r>
        <w:rPr>
          <w:bCs/>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53F44339">
      <w:pPr>
        <w:spacing w:line="360" w:lineRule="auto"/>
        <w:ind w:firstLine="480" w:firstLineChars="200"/>
        <w:rPr>
          <w:bCs/>
          <w:sz w:val="24"/>
          <w:szCs w:val="24"/>
        </w:rPr>
      </w:pPr>
      <w:r>
        <w:rPr>
          <w:rFonts w:hint="eastAsia"/>
          <w:bCs/>
          <w:sz w:val="24"/>
          <w:szCs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5CC3B327">
      <w:pPr>
        <w:spacing w:line="360" w:lineRule="auto"/>
        <w:ind w:firstLine="480" w:firstLineChars="200"/>
        <w:rPr>
          <w:bCs/>
          <w:sz w:val="24"/>
          <w:szCs w:val="24"/>
        </w:rPr>
      </w:pPr>
      <w:r>
        <w:rPr>
          <w:rFonts w:hint="eastAsia"/>
          <w:bCs/>
          <w:sz w:val="24"/>
          <w:szCs w:val="24"/>
        </w:rPr>
        <w:t>4、基金份额持有人授权他人代为出席会议并表决的，授权方式可以采用书面、网络、电话、短信或其他方式，具体方式在会议通知中列明。</w:t>
      </w:r>
    </w:p>
    <w:p w14:paraId="5ABCCA04">
      <w:pPr>
        <w:spacing w:line="360" w:lineRule="auto"/>
        <w:ind w:firstLine="480" w:firstLineChars="200"/>
        <w:rPr>
          <w:bCs/>
          <w:sz w:val="24"/>
          <w:szCs w:val="24"/>
        </w:rPr>
      </w:pPr>
      <w:r>
        <w:rPr>
          <w:rFonts w:hint="eastAsia"/>
          <w:bCs/>
          <w:sz w:val="24"/>
          <w:szCs w:val="24"/>
        </w:rPr>
        <w:t>5、重新召集基金份额持有人大会的条件</w:t>
      </w:r>
    </w:p>
    <w:p w14:paraId="179ED60B">
      <w:pPr>
        <w:spacing w:line="360" w:lineRule="auto"/>
        <w:ind w:firstLine="480" w:firstLineChars="200"/>
        <w:rPr>
          <w:bCs/>
          <w:sz w:val="24"/>
          <w:szCs w:val="24"/>
        </w:rPr>
      </w:pPr>
      <w:r>
        <w:rPr>
          <w:rFonts w:hint="eastAsia"/>
          <w:bCs/>
          <w:sz w:val="24"/>
          <w:szCs w:val="24"/>
        </w:rPr>
        <w:t>参加基金份额持有人大会的基金份额持有人持有的有效基金份额低于第1条第（2）款、第2条第（3）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14:paraId="43862EA0">
      <w:pPr>
        <w:spacing w:line="360" w:lineRule="auto"/>
        <w:ind w:firstLine="480" w:firstLineChars="200"/>
        <w:rPr>
          <w:bCs/>
          <w:sz w:val="24"/>
          <w:szCs w:val="24"/>
        </w:rPr>
      </w:pPr>
      <w:r>
        <w:rPr>
          <w:rFonts w:hint="eastAsia"/>
          <w:bCs/>
          <w:sz w:val="24"/>
          <w:szCs w:val="24"/>
        </w:rPr>
        <w:t>（五）</w:t>
      </w:r>
      <w:r>
        <w:rPr>
          <w:bCs/>
          <w:sz w:val="24"/>
          <w:szCs w:val="24"/>
        </w:rPr>
        <w:t>议事内容与程序</w:t>
      </w:r>
    </w:p>
    <w:p w14:paraId="0DB786AC">
      <w:pPr>
        <w:spacing w:line="360" w:lineRule="auto"/>
        <w:ind w:firstLine="480" w:firstLineChars="200"/>
        <w:rPr>
          <w:bCs/>
          <w:sz w:val="24"/>
          <w:szCs w:val="24"/>
        </w:rPr>
      </w:pPr>
      <w:r>
        <w:rPr>
          <w:bCs/>
          <w:sz w:val="24"/>
          <w:szCs w:val="24"/>
        </w:rPr>
        <w:t>1、议事内容及提案权</w:t>
      </w:r>
    </w:p>
    <w:p w14:paraId="54B62017">
      <w:pPr>
        <w:spacing w:line="360" w:lineRule="auto"/>
        <w:ind w:firstLine="480" w:firstLineChars="200"/>
        <w:rPr>
          <w:bCs/>
          <w:sz w:val="24"/>
          <w:szCs w:val="24"/>
        </w:rPr>
      </w:pPr>
      <w:r>
        <w:rPr>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FA079E">
      <w:pPr>
        <w:spacing w:line="360" w:lineRule="auto"/>
        <w:ind w:firstLine="480" w:firstLineChars="200"/>
        <w:rPr>
          <w:bCs/>
          <w:sz w:val="24"/>
          <w:szCs w:val="24"/>
        </w:rPr>
      </w:pPr>
      <w:r>
        <w:rPr>
          <w:bCs/>
          <w:sz w:val="24"/>
          <w:szCs w:val="24"/>
        </w:rPr>
        <w:t>基金份额持有人大会的召集人发出召集会议的通知后，对原有提案的修改应当在基金份额持有人大会召开前及时公告。</w:t>
      </w:r>
    </w:p>
    <w:p w14:paraId="38031C81">
      <w:pPr>
        <w:spacing w:line="360" w:lineRule="auto"/>
        <w:ind w:firstLine="480" w:firstLineChars="200"/>
        <w:rPr>
          <w:bCs/>
          <w:sz w:val="24"/>
          <w:szCs w:val="24"/>
        </w:rPr>
      </w:pPr>
      <w:r>
        <w:rPr>
          <w:bCs/>
          <w:sz w:val="24"/>
          <w:szCs w:val="24"/>
        </w:rPr>
        <w:t>基金份额持有人大会不得对未事先公告的议事内容进行表决。</w:t>
      </w:r>
    </w:p>
    <w:p w14:paraId="6A694E1D">
      <w:pPr>
        <w:spacing w:line="360" w:lineRule="auto"/>
        <w:ind w:firstLine="480" w:firstLineChars="200"/>
        <w:rPr>
          <w:bCs/>
          <w:sz w:val="24"/>
          <w:szCs w:val="24"/>
        </w:rPr>
      </w:pPr>
      <w:r>
        <w:rPr>
          <w:bCs/>
          <w:sz w:val="24"/>
          <w:szCs w:val="24"/>
        </w:rPr>
        <w:t>2、议事程序</w:t>
      </w:r>
    </w:p>
    <w:p w14:paraId="64E692CA">
      <w:pPr>
        <w:spacing w:line="360" w:lineRule="auto"/>
        <w:ind w:firstLine="480" w:firstLineChars="200"/>
        <w:rPr>
          <w:bCs/>
          <w:sz w:val="24"/>
          <w:szCs w:val="24"/>
        </w:rPr>
      </w:pPr>
      <w:r>
        <w:rPr>
          <w:bCs/>
          <w:sz w:val="24"/>
          <w:szCs w:val="24"/>
        </w:rPr>
        <w:t>（1）现场开会</w:t>
      </w:r>
    </w:p>
    <w:p w14:paraId="7C9A2A91">
      <w:pPr>
        <w:spacing w:line="360" w:lineRule="auto"/>
        <w:ind w:firstLine="480" w:firstLineChars="200"/>
        <w:rPr>
          <w:bCs/>
          <w:sz w:val="24"/>
          <w:szCs w:val="24"/>
        </w:rPr>
      </w:pPr>
      <w:r>
        <w:rPr>
          <w:bCs/>
          <w:sz w:val="24"/>
          <w:szCs w:val="24"/>
        </w:rPr>
        <w:t>在现场开会的方式下，首先由大会主持人按照下列第</w:t>
      </w:r>
      <w:r>
        <w:rPr>
          <w:rFonts w:hint="eastAsia"/>
          <w:bCs/>
          <w:sz w:val="24"/>
          <w:szCs w:val="24"/>
        </w:rPr>
        <w:t>（七）</w:t>
      </w:r>
      <w:r>
        <w:rPr>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szCs w:val="24"/>
        </w:rPr>
        <w:t>50%</w:t>
      </w:r>
      <w:r>
        <w:rPr>
          <w:bCs/>
          <w:sz w:val="24"/>
          <w:szCs w:val="24"/>
        </w:rPr>
        <w:t>以上（含</w:t>
      </w:r>
      <w:r>
        <w:rPr>
          <w:rFonts w:hint="eastAsia"/>
          <w:bCs/>
          <w:sz w:val="24"/>
          <w:szCs w:val="24"/>
        </w:rPr>
        <w:t>50%</w:t>
      </w:r>
      <w:r>
        <w:rPr>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15FFF0D">
      <w:pPr>
        <w:spacing w:line="360" w:lineRule="auto"/>
        <w:ind w:firstLine="480" w:firstLineChars="200"/>
        <w:rPr>
          <w:bCs/>
          <w:sz w:val="24"/>
          <w:szCs w:val="24"/>
        </w:rPr>
      </w:pPr>
      <w:r>
        <w:rPr>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1AC871AA">
      <w:pPr>
        <w:spacing w:line="360" w:lineRule="auto"/>
        <w:ind w:firstLine="480" w:firstLineChars="200"/>
        <w:rPr>
          <w:bCs/>
          <w:sz w:val="24"/>
          <w:szCs w:val="24"/>
        </w:rPr>
      </w:pPr>
      <w:r>
        <w:rPr>
          <w:bCs/>
          <w:sz w:val="24"/>
          <w:szCs w:val="24"/>
        </w:rPr>
        <w:t>（2）通讯开会</w:t>
      </w:r>
    </w:p>
    <w:p w14:paraId="16BD355E">
      <w:pPr>
        <w:spacing w:line="360" w:lineRule="auto"/>
        <w:ind w:firstLine="480" w:firstLineChars="200"/>
        <w:rPr>
          <w:bCs/>
          <w:sz w:val="24"/>
          <w:szCs w:val="24"/>
        </w:rPr>
      </w:pPr>
      <w:r>
        <w:rPr>
          <w:bCs/>
          <w:sz w:val="24"/>
          <w:szCs w:val="24"/>
        </w:rPr>
        <w:t>在通讯开会的情况下，首先由召集人提前</w:t>
      </w:r>
      <w:r>
        <w:rPr>
          <w:rFonts w:hint="eastAsia"/>
          <w:bCs/>
          <w:sz w:val="24"/>
          <w:szCs w:val="24"/>
        </w:rPr>
        <w:t>30</w:t>
      </w:r>
      <w:r>
        <w:rPr>
          <w:bCs/>
          <w:sz w:val="24"/>
          <w:szCs w:val="24"/>
        </w:rPr>
        <w:t>日公布提案，在所通知的表决截止日期后</w:t>
      </w:r>
      <w:r>
        <w:rPr>
          <w:rFonts w:hint="eastAsia"/>
          <w:bCs/>
          <w:sz w:val="24"/>
          <w:szCs w:val="24"/>
        </w:rPr>
        <w:t>2</w:t>
      </w:r>
      <w:r>
        <w:rPr>
          <w:bCs/>
          <w:sz w:val="24"/>
          <w:szCs w:val="24"/>
        </w:rPr>
        <w:t>个工作日内在公证机关监督下由召集人统计全部有效表决，在公证机关监督下形成决议。</w:t>
      </w:r>
    </w:p>
    <w:p w14:paraId="73B509DF">
      <w:pPr>
        <w:spacing w:line="360" w:lineRule="auto"/>
        <w:ind w:firstLine="480" w:firstLineChars="200"/>
        <w:rPr>
          <w:bCs/>
          <w:sz w:val="24"/>
          <w:szCs w:val="24"/>
        </w:rPr>
      </w:pPr>
      <w:r>
        <w:rPr>
          <w:rFonts w:hint="eastAsia"/>
          <w:bCs/>
          <w:sz w:val="24"/>
          <w:szCs w:val="24"/>
        </w:rPr>
        <w:t>（六）</w:t>
      </w:r>
      <w:r>
        <w:rPr>
          <w:bCs/>
          <w:sz w:val="24"/>
          <w:szCs w:val="24"/>
        </w:rPr>
        <w:t>表决</w:t>
      </w:r>
    </w:p>
    <w:p w14:paraId="0348AF18">
      <w:pPr>
        <w:spacing w:line="360" w:lineRule="auto"/>
        <w:ind w:firstLine="480" w:firstLineChars="200"/>
        <w:rPr>
          <w:bCs/>
          <w:sz w:val="24"/>
          <w:szCs w:val="24"/>
        </w:rPr>
      </w:pPr>
      <w:r>
        <w:rPr>
          <w:bCs/>
          <w:sz w:val="24"/>
          <w:szCs w:val="24"/>
        </w:rPr>
        <w:t>基金份额持有人所持每份基金份额有一票表决权</w:t>
      </w:r>
      <w:r>
        <w:rPr>
          <w:rFonts w:hint="eastAsia"/>
          <w:bCs/>
          <w:sz w:val="24"/>
        </w:rPr>
        <w:t>，同一类别内每一基金份额享有同等表决权</w:t>
      </w:r>
      <w:r>
        <w:rPr>
          <w:bCs/>
          <w:sz w:val="24"/>
          <w:szCs w:val="24"/>
        </w:rPr>
        <w:t>。</w:t>
      </w:r>
    </w:p>
    <w:p w14:paraId="1671E198">
      <w:pPr>
        <w:spacing w:line="360" w:lineRule="auto"/>
        <w:ind w:firstLine="480" w:firstLineChars="200"/>
        <w:rPr>
          <w:bCs/>
          <w:sz w:val="24"/>
          <w:szCs w:val="24"/>
        </w:rPr>
      </w:pPr>
      <w:r>
        <w:rPr>
          <w:bCs/>
          <w:sz w:val="24"/>
          <w:szCs w:val="24"/>
        </w:rPr>
        <w:t>基金份额持有人大会决议分为一般决议和特别决议：</w:t>
      </w:r>
    </w:p>
    <w:p w14:paraId="29E84EB4">
      <w:pPr>
        <w:spacing w:line="360" w:lineRule="auto"/>
        <w:ind w:firstLine="480" w:firstLineChars="200"/>
        <w:rPr>
          <w:bCs/>
          <w:sz w:val="24"/>
          <w:szCs w:val="24"/>
        </w:rPr>
      </w:pPr>
      <w:r>
        <w:rPr>
          <w:bCs/>
          <w:sz w:val="24"/>
          <w:szCs w:val="24"/>
        </w:rPr>
        <w:t>1、一般决议，一般决议须经参加大会的基金份额持有人或其代理人所持表决权的</w:t>
      </w:r>
      <w:r>
        <w:rPr>
          <w:rFonts w:hint="eastAsia"/>
          <w:bCs/>
          <w:sz w:val="24"/>
          <w:szCs w:val="24"/>
        </w:rPr>
        <w:t>50%</w:t>
      </w:r>
      <w:r>
        <w:rPr>
          <w:bCs/>
          <w:sz w:val="24"/>
          <w:szCs w:val="24"/>
        </w:rPr>
        <w:t>以上（含</w:t>
      </w:r>
      <w:r>
        <w:rPr>
          <w:rFonts w:hint="eastAsia"/>
          <w:bCs/>
          <w:sz w:val="24"/>
          <w:szCs w:val="24"/>
        </w:rPr>
        <w:t>50%</w:t>
      </w:r>
      <w:r>
        <w:rPr>
          <w:bCs/>
          <w:sz w:val="24"/>
          <w:szCs w:val="24"/>
        </w:rPr>
        <w:t>）通过方为有效；除下列第2项所规定的须以特别决议通过事项以外的其他事项均以一般决议的方式通过。</w:t>
      </w:r>
    </w:p>
    <w:p w14:paraId="502008A3">
      <w:pPr>
        <w:spacing w:line="360" w:lineRule="auto"/>
        <w:ind w:firstLine="480" w:firstLineChars="200"/>
        <w:rPr>
          <w:bCs/>
          <w:sz w:val="24"/>
          <w:szCs w:val="24"/>
        </w:rPr>
      </w:pPr>
      <w:r>
        <w:rPr>
          <w:bCs/>
          <w:sz w:val="24"/>
          <w:szCs w:val="24"/>
        </w:rPr>
        <w:t>2、特别决议，特别决议应当经参加大会的基金份额持有人或其代理人所持表决权的</w:t>
      </w:r>
      <w:r>
        <w:rPr>
          <w:rFonts w:hint="eastAsia"/>
          <w:bCs/>
          <w:sz w:val="24"/>
          <w:szCs w:val="24"/>
        </w:rPr>
        <w:t>三分之二</w:t>
      </w:r>
      <w:r>
        <w:rPr>
          <w:bCs/>
          <w:sz w:val="24"/>
          <w:szCs w:val="24"/>
        </w:rPr>
        <w:t>以上（含</w:t>
      </w:r>
      <w:r>
        <w:rPr>
          <w:rFonts w:hint="eastAsia"/>
          <w:bCs/>
          <w:sz w:val="24"/>
          <w:szCs w:val="24"/>
        </w:rPr>
        <w:t>三分之二</w:t>
      </w:r>
      <w:r>
        <w:rPr>
          <w:bCs/>
          <w:sz w:val="24"/>
          <w:szCs w:val="24"/>
        </w:rPr>
        <w:t>）通过方可做出。转换基金运作方式、更换基金管理人或者基金托管人、终止《基金合同》、与其他基金合并</w:t>
      </w:r>
      <w:r>
        <w:rPr>
          <w:rFonts w:hint="eastAsia"/>
          <w:bCs/>
          <w:sz w:val="24"/>
          <w:szCs w:val="24"/>
        </w:rPr>
        <w:t>，</w:t>
      </w:r>
      <w:r>
        <w:rPr>
          <w:bCs/>
          <w:sz w:val="24"/>
          <w:szCs w:val="24"/>
        </w:rPr>
        <w:t>以特别决议通过方为有效。</w:t>
      </w:r>
    </w:p>
    <w:p w14:paraId="77F8265C">
      <w:pPr>
        <w:spacing w:line="360" w:lineRule="auto"/>
        <w:ind w:firstLine="480" w:firstLineChars="200"/>
        <w:rPr>
          <w:bCs/>
          <w:sz w:val="24"/>
          <w:szCs w:val="24"/>
        </w:rPr>
      </w:pPr>
      <w:r>
        <w:rPr>
          <w:bCs/>
          <w:sz w:val="24"/>
          <w:szCs w:val="24"/>
        </w:rPr>
        <w:t>基金份额持有人大会采取记名方式进行投票表决。</w:t>
      </w:r>
    </w:p>
    <w:p w14:paraId="05E48CC3">
      <w:pPr>
        <w:spacing w:line="360" w:lineRule="auto"/>
        <w:ind w:firstLine="480" w:firstLineChars="200"/>
        <w:rPr>
          <w:bCs/>
          <w:sz w:val="24"/>
          <w:szCs w:val="24"/>
        </w:rPr>
      </w:pPr>
      <w:r>
        <w:rPr>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BF8D9B3">
      <w:pPr>
        <w:spacing w:line="360" w:lineRule="auto"/>
        <w:ind w:firstLine="480" w:firstLineChars="200"/>
        <w:rPr>
          <w:bCs/>
          <w:sz w:val="24"/>
          <w:szCs w:val="24"/>
        </w:rPr>
      </w:pPr>
      <w:r>
        <w:rPr>
          <w:bCs/>
          <w:sz w:val="24"/>
          <w:szCs w:val="24"/>
        </w:rPr>
        <w:t>基金份额持有人大会的各项提案或同一项提案内并列的各项议题应当分开审议、逐项表决。</w:t>
      </w:r>
    </w:p>
    <w:p w14:paraId="04C47F19">
      <w:pPr>
        <w:spacing w:line="360" w:lineRule="auto"/>
        <w:ind w:firstLine="480" w:firstLineChars="200"/>
        <w:rPr>
          <w:bCs/>
          <w:sz w:val="24"/>
          <w:szCs w:val="24"/>
        </w:rPr>
      </w:pPr>
      <w:r>
        <w:rPr>
          <w:rFonts w:hint="eastAsia"/>
          <w:bCs/>
          <w:sz w:val="24"/>
          <w:szCs w:val="24"/>
        </w:rPr>
        <w:t>（七）</w:t>
      </w:r>
      <w:r>
        <w:rPr>
          <w:bCs/>
          <w:sz w:val="24"/>
          <w:szCs w:val="24"/>
        </w:rPr>
        <w:t>计票</w:t>
      </w:r>
    </w:p>
    <w:p w14:paraId="014C981C">
      <w:pPr>
        <w:spacing w:line="360" w:lineRule="auto"/>
        <w:ind w:firstLine="480" w:firstLineChars="200"/>
        <w:rPr>
          <w:bCs/>
          <w:sz w:val="24"/>
          <w:szCs w:val="24"/>
        </w:rPr>
      </w:pPr>
      <w:r>
        <w:rPr>
          <w:bCs/>
          <w:sz w:val="24"/>
          <w:szCs w:val="24"/>
        </w:rPr>
        <w:t>1、现场开会</w:t>
      </w:r>
    </w:p>
    <w:p w14:paraId="72741C39">
      <w:pPr>
        <w:spacing w:line="360" w:lineRule="auto"/>
        <w:ind w:firstLine="480" w:firstLineChars="200"/>
        <w:rPr>
          <w:bCs/>
          <w:sz w:val="24"/>
          <w:szCs w:val="24"/>
        </w:rPr>
      </w:pPr>
      <w:r>
        <w:rPr>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B6B9D6F">
      <w:pPr>
        <w:spacing w:line="360" w:lineRule="auto"/>
        <w:ind w:firstLine="480" w:firstLineChars="200"/>
        <w:rPr>
          <w:bCs/>
          <w:sz w:val="24"/>
          <w:szCs w:val="24"/>
        </w:rPr>
      </w:pPr>
      <w:r>
        <w:rPr>
          <w:bCs/>
          <w:sz w:val="24"/>
          <w:szCs w:val="24"/>
        </w:rPr>
        <w:t>（2）监票人应当在基金份额持有人表决后立即进行清点并由大会主持人当场公布计票结果。</w:t>
      </w:r>
    </w:p>
    <w:p w14:paraId="1A8391E7">
      <w:pPr>
        <w:spacing w:line="360" w:lineRule="auto"/>
        <w:ind w:firstLine="480" w:firstLineChars="200"/>
        <w:rPr>
          <w:bCs/>
          <w:sz w:val="24"/>
          <w:szCs w:val="24"/>
        </w:rPr>
      </w:pPr>
      <w:r>
        <w:rPr>
          <w:bCs/>
          <w:sz w:val="24"/>
          <w:szCs w:val="24"/>
        </w:rPr>
        <w:t>（3）如果会议主持人或基金份额持有人或代理人对于提交的表决结果有</w:t>
      </w:r>
      <w:r>
        <w:rPr>
          <w:rFonts w:hint="eastAsia"/>
          <w:bCs/>
          <w:sz w:val="24"/>
          <w:szCs w:val="24"/>
        </w:rPr>
        <w:t>异议</w:t>
      </w:r>
      <w:r>
        <w:rPr>
          <w:bCs/>
          <w:sz w:val="24"/>
          <w:szCs w:val="24"/>
        </w:rPr>
        <w:t>，可以在宣布表决结果后立即对所投票数要求进行重新清点。监票人应当进行重新清点，重新清点以一次为限。重新清点后，大会主持人应当当场公布重新清点结果。</w:t>
      </w:r>
    </w:p>
    <w:p w14:paraId="44811805">
      <w:pPr>
        <w:spacing w:line="360" w:lineRule="auto"/>
        <w:ind w:firstLine="480" w:firstLineChars="200"/>
        <w:rPr>
          <w:bCs/>
          <w:sz w:val="24"/>
          <w:szCs w:val="24"/>
        </w:rPr>
      </w:pPr>
      <w:r>
        <w:rPr>
          <w:bCs/>
          <w:sz w:val="24"/>
          <w:szCs w:val="24"/>
        </w:rPr>
        <w:t>（4）计票过程应由公证机关予以公证,基金管理人或基金托管人拒不出席大会的，不影响计票的效力。</w:t>
      </w:r>
    </w:p>
    <w:p w14:paraId="27834E23">
      <w:pPr>
        <w:spacing w:line="360" w:lineRule="auto"/>
        <w:ind w:firstLine="480" w:firstLineChars="200"/>
        <w:rPr>
          <w:bCs/>
          <w:sz w:val="24"/>
          <w:szCs w:val="24"/>
        </w:rPr>
      </w:pPr>
      <w:r>
        <w:rPr>
          <w:bCs/>
          <w:sz w:val="24"/>
          <w:szCs w:val="24"/>
        </w:rPr>
        <w:t>2、通讯开会</w:t>
      </w:r>
    </w:p>
    <w:p w14:paraId="735951C7">
      <w:pPr>
        <w:spacing w:line="360" w:lineRule="auto"/>
        <w:ind w:firstLine="480" w:firstLineChars="200"/>
        <w:rPr>
          <w:bCs/>
          <w:sz w:val="24"/>
          <w:szCs w:val="24"/>
        </w:rPr>
      </w:pPr>
      <w:r>
        <w:rPr>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4A340EB">
      <w:pPr>
        <w:spacing w:line="360" w:lineRule="auto"/>
        <w:ind w:firstLine="480" w:firstLineChars="200"/>
        <w:rPr>
          <w:bCs/>
          <w:sz w:val="24"/>
          <w:szCs w:val="24"/>
        </w:rPr>
      </w:pPr>
      <w:r>
        <w:rPr>
          <w:rFonts w:hint="eastAsia"/>
          <w:bCs/>
          <w:sz w:val="24"/>
          <w:szCs w:val="24"/>
        </w:rPr>
        <w:t>（八）</w:t>
      </w:r>
      <w:r>
        <w:rPr>
          <w:bCs/>
          <w:sz w:val="24"/>
          <w:szCs w:val="24"/>
        </w:rPr>
        <w:t>生效与公告</w:t>
      </w:r>
    </w:p>
    <w:p w14:paraId="45FE5A80">
      <w:pPr>
        <w:spacing w:line="360" w:lineRule="auto"/>
        <w:ind w:firstLine="480" w:firstLineChars="200"/>
        <w:rPr>
          <w:bCs/>
          <w:sz w:val="24"/>
          <w:szCs w:val="24"/>
          <w:shd w:val="pct10" w:color="auto" w:fill="FFFFFF"/>
        </w:rPr>
      </w:pPr>
      <w:r>
        <w:rPr>
          <w:bCs/>
          <w:sz w:val="24"/>
          <w:szCs w:val="24"/>
        </w:rPr>
        <w:t>基金份额持有人大会的决议，召集人应当自通过之日起</w:t>
      </w:r>
      <w:r>
        <w:rPr>
          <w:rFonts w:hint="eastAsia"/>
          <w:bCs/>
          <w:sz w:val="24"/>
          <w:szCs w:val="24"/>
        </w:rPr>
        <w:t>5</w:t>
      </w:r>
      <w:r>
        <w:rPr>
          <w:bCs/>
          <w:sz w:val="24"/>
          <w:szCs w:val="24"/>
        </w:rPr>
        <w:t>日内报中国证监会备案。</w:t>
      </w:r>
    </w:p>
    <w:p w14:paraId="49E2C641">
      <w:pPr>
        <w:spacing w:line="360" w:lineRule="auto"/>
        <w:ind w:firstLine="480" w:firstLineChars="200"/>
        <w:rPr>
          <w:bCs/>
          <w:sz w:val="24"/>
          <w:szCs w:val="24"/>
        </w:rPr>
      </w:pPr>
      <w:r>
        <w:rPr>
          <w:bCs/>
          <w:sz w:val="24"/>
          <w:szCs w:val="24"/>
        </w:rPr>
        <w:t>基金份额持有人大会的决议自</w:t>
      </w:r>
      <w:r>
        <w:rPr>
          <w:rFonts w:hint="eastAsia"/>
          <w:bCs/>
          <w:sz w:val="24"/>
          <w:szCs w:val="24"/>
        </w:rPr>
        <w:t>表决通过</w:t>
      </w:r>
      <w:r>
        <w:rPr>
          <w:bCs/>
          <w:sz w:val="24"/>
          <w:szCs w:val="24"/>
        </w:rPr>
        <w:t>之日起生效。</w:t>
      </w:r>
    </w:p>
    <w:p w14:paraId="1BDC78B8">
      <w:pPr>
        <w:spacing w:line="360" w:lineRule="auto"/>
        <w:ind w:firstLine="480" w:firstLineChars="200"/>
        <w:rPr>
          <w:bCs/>
          <w:sz w:val="24"/>
          <w:szCs w:val="24"/>
        </w:rPr>
      </w:pPr>
      <w:r>
        <w:rPr>
          <w:bCs/>
          <w:sz w:val="24"/>
          <w:szCs w:val="24"/>
        </w:rPr>
        <w:t>基金份额持有人大会决议自生效之日起</w:t>
      </w:r>
      <w:r>
        <w:rPr>
          <w:rFonts w:hint="eastAsia"/>
          <w:bCs/>
          <w:sz w:val="24"/>
          <w:szCs w:val="24"/>
        </w:rPr>
        <w:t>按规定</w:t>
      </w:r>
      <w:r>
        <w:rPr>
          <w:bCs/>
          <w:sz w:val="24"/>
          <w:szCs w:val="24"/>
        </w:rPr>
        <w:t>在</w:t>
      </w:r>
      <w:r>
        <w:rPr>
          <w:rFonts w:hint="eastAsia"/>
          <w:bCs/>
          <w:sz w:val="24"/>
          <w:szCs w:val="24"/>
        </w:rPr>
        <w:t>指定媒介</w:t>
      </w:r>
      <w:r>
        <w:rPr>
          <w:bCs/>
          <w:sz w:val="24"/>
          <w:szCs w:val="24"/>
        </w:rPr>
        <w:t>上公告。如果采用通讯方式进行表决，在公告基金份额持有人大会决议时，必须将公证书全文、公证机构、公证员姓名等一同公告。</w:t>
      </w:r>
    </w:p>
    <w:p w14:paraId="740FDACC">
      <w:pPr>
        <w:spacing w:line="360" w:lineRule="auto"/>
        <w:ind w:firstLine="480" w:firstLineChars="200"/>
        <w:rPr>
          <w:bCs/>
          <w:sz w:val="24"/>
          <w:szCs w:val="24"/>
        </w:rPr>
      </w:pPr>
      <w:r>
        <w:rPr>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F49A78B">
      <w:pPr>
        <w:spacing w:line="360" w:lineRule="auto"/>
        <w:ind w:firstLine="480" w:firstLineChars="200"/>
        <w:rPr>
          <w:bCs/>
          <w:sz w:val="24"/>
        </w:rPr>
      </w:pPr>
      <w:r>
        <w:rPr>
          <w:rFonts w:hint="eastAsia"/>
          <w:bCs/>
          <w:sz w:val="24"/>
        </w:rPr>
        <w:t>（九）实施侧袋机制期间基金份额持有人大会的特殊约定</w:t>
      </w:r>
    </w:p>
    <w:p w14:paraId="67AD3478">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AC2C98A">
      <w:pPr>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14:paraId="1DBAAD32">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14:paraId="1D930699">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14:paraId="2C70CE3C">
      <w:pPr>
        <w:spacing w:line="360" w:lineRule="auto"/>
        <w:ind w:firstLine="480" w:firstLineChars="200"/>
        <w:rPr>
          <w:bCs/>
          <w:sz w:val="24"/>
        </w:rPr>
      </w:pPr>
      <w:r>
        <w:rPr>
          <w:rFonts w:hint="eastAsia"/>
          <w:bCs/>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EA4A58A">
      <w:pPr>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（5）现场开会由出席大会的基金份额持有人和代理人所持表决权的50%以上（含50%）选举产生一名基金份额持有人作为该次基金份额持有人大会的主持人；</w:t>
      </w:r>
    </w:p>
    <w:p w14:paraId="0D6FA5DB">
      <w:pPr>
        <w:spacing w:line="360" w:lineRule="auto"/>
        <w:ind w:firstLine="480" w:firstLineChars="200"/>
        <w:rPr>
          <w:bCs/>
          <w:sz w:val="24"/>
        </w:rPr>
      </w:pPr>
      <w:r>
        <w:rPr>
          <w:rFonts w:hint="eastAsia"/>
          <w:bCs/>
          <w:sz w:val="24"/>
        </w:rPr>
        <w:t>（</w:t>
      </w:r>
      <w:r>
        <w:rPr>
          <w:bCs/>
          <w:sz w:val="24"/>
        </w:rPr>
        <w:t>6</w:t>
      </w:r>
      <w:r>
        <w:rPr>
          <w:rFonts w:hint="eastAsia"/>
          <w:bCs/>
          <w:sz w:val="24"/>
        </w:rPr>
        <w:t>）一般决议须经参加大会的基金份额持有人或其代理人所持表决权的二分之一以上（含二分之一）通过；</w:t>
      </w:r>
    </w:p>
    <w:p w14:paraId="0F3A8CD1">
      <w:pPr>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14:paraId="5438E1A0">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25349DB4">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侧袋机制实施期间，关于基金份额持有人大会的相关规定以本节特殊约定内容为准，本节没有规定的适用上文相关约定。</w:t>
      </w:r>
    </w:p>
    <w:p w14:paraId="6E92CF6A">
      <w:pPr>
        <w:spacing w:line="360" w:lineRule="auto"/>
        <w:ind w:firstLine="480" w:firstLineChars="200"/>
        <w:rPr>
          <w:bCs/>
          <w:sz w:val="24"/>
          <w:szCs w:val="24"/>
        </w:rPr>
      </w:pPr>
      <w:r>
        <w:rPr>
          <w:rFonts w:hint="eastAsia"/>
          <w:bCs/>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112C0B39">
      <w:pPr>
        <w:spacing w:line="360" w:lineRule="auto"/>
        <w:ind w:firstLine="480" w:firstLineChars="200"/>
        <w:rPr>
          <w:bCs/>
          <w:sz w:val="24"/>
          <w:szCs w:val="24"/>
        </w:rPr>
      </w:pPr>
      <w:r>
        <w:rPr>
          <w:rFonts w:hint="eastAsia"/>
          <w:bCs/>
          <w:sz w:val="24"/>
          <w:szCs w:val="24"/>
        </w:rPr>
        <w:t>三、基金收益分配原则、执行方式</w:t>
      </w:r>
    </w:p>
    <w:p w14:paraId="61B74AF8">
      <w:pPr>
        <w:spacing w:line="360" w:lineRule="auto"/>
        <w:ind w:firstLine="480" w:firstLineChars="200"/>
        <w:rPr>
          <w:bCs/>
          <w:sz w:val="24"/>
          <w:szCs w:val="24"/>
        </w:rPr>
      </w:pPr>
      <w:r>
        <w:rPr>
          <w:rFonts w:hint="eastAsia"/>
          <w:bCs/>
          <w:sz w:val="24"/>
          <w:szCs w:val="24"/>
        </w:rPr>
        <w:t>（一）</w:t>
      </w:r>
      <w:r>
        <w:rPr>
          <w:bCs/>
          <w:sz w:val="24"/>
          <w:szCs w:val="24"/>
        </w:rPr>
        <w:t>基金利润的构成</w:t>
      </w:r>
    </w:p>
    <w:p w14:paraId="4FC3EDF3">
      <w:pPr>
        <w:spacing w:line="360" w:lineRule="auto"/>
        <w:ind w:firstLine="480" w:firstLineChars="200"/>
        <w:rPr>
          <w:bCs/>
          <w:sz w:val="24"/>
          <w:szCs w:val="24"/>
        </w:rPr>
      </w:pPr>
      <w:r>
        <w:rPr>
          <w:bCs/>
          <w:sz w:val="24"/>
          <w:szCs w:val="24"/>
        </w:rPr>
        <w:t>基金利润指基金利息收入、投资收益、公允价值变动收益和其他收入扣除相关费用后的余额，基金已实现收益指基金利润减去公允价值变动收益后的余额。</w:t>
      </w:r>
    </w:p>
    <w:p w14:paraId="2A8C65A9">
      <w:pPr>
        <w:spacing w:line="360" w:lineRule="auto"/>
        <w:ind w:firstLine="480" w:firstLineChars="200"/>
        <w:rPr>
          <w:bCs/>
          <w:sz w:val="24"/>
          <w:szCs w:val="24"/>
        </w:rPr>
      </w:pPr>
      <w:r>
        <w:rPr>
          <w:rFonts w:hint="eastAsia"/>
          <w:bCs/>
          <w:sz w:val="24"/>
          <w:szCs w:val="24"/>
        </w:rPr>
        <w:t>（二）</w:t>
      </w:r>
      <w:r>
        <w:rPr>
          <w:bCs/>
          <w:sz w:val="24"/>
          <w:szCs w:val="24"/>
        </w:rPr>
        <w:t>基金可供分配利润</w:t>
      </w:r>
    </w:p>
    <w:p w14:paraId="6724CAD3">
      <w:pPr>
        <w:spacing w:line="360" w:lineRule="auto"/>
        <w:ind w:firstLine="480" w:firstLineChars="200"/>
        <w:rPr>
          <w:bCs/>
          <w:sz w:val="24"/>
          <w:szCs w:val="24"/>
        </w:rPr>
      </w:pPr>
      <w:r>
        <w:rPr>
          <w:bCs/>
          <w:sz w:val="24"/>
          <w:szCs w:val="24"/>
        </w:rPr>
        <w:t>基金可供分配利润指截至收益分配基准日基金未分配利润与未分配利润中已实现收益的孰低数。</w:t>
      </w:r>
    </w:p>
    <w:p w14:paraId="0985F6F8">
      <w:pPr>
        <w:spacing w:line="360" w:lineRule="auto"/>
        <w:ind w:firstLine="480" w:firstLineChars="200"/>
        <w:rPr>
          <w:bCs/>
          <w:sz w:val="24"/>
          <w:szCs w:val="24"/>
        </w:rPr>
      </w:pPr>
      <w:r>
        <w:rPr>
          <w:rFonts w:hint="eastAsia"/>
          <w:bCs/>
          <w:sz w:val="24"/>
          <w:szCs w:val="24"/>
        </w:rPr>
        <w:t>（三）</w:t>
      </w:r>
      <w:r>
        <w:rPr>
          <w:bCs/>
          <w:sz w:val="24"/>
          <w:szCs w:val="24"/>
        </w:rPr>
        <w:t>基金收益分配原则</w:t>
      </w:r>
    </w:p>
    <w:p w14:paraId="7360344C">
      <w:pPr>
        <w:spacing w:line="360" w:lineRule="auto"/>
        <w:ind w:firstLine="480" w:firstLineChars="200"/>
        <w:rPr>
          <w:bCs/>
          <w:sz w:val="24"/>
          <w:szCs w:val="24"/>
        </w:rPr>
      </w:pPr>
      <w:r>
        <w:rPr>
          <w:bCs/>
          <w:sz w:val="24"/>
          <w:szCs w:val="24"/>
        </w:rPr>
        <w:t>1、在符合有关基金分红条件的前提下，本基金每年收益分配次数最多为</w:t>
      </w:r>
      <w:r>
        <w:rPr>
          <w:rFonts w:hint="eastAsia"/>
          <w:bCs/>
          <w:sz w:val="24"/>
          <w:szCs w:val="24"/>
        </w:rPr>
        <w:t>4</w:t>
      </w:r>
      <w:r>
        <w:rPr>
          <w:bCs/>
          <w:sz w:val="24"/>
          <w:szCs w:val="24"/>
        </w:rPr>
        <w:t>次，若《基金合同》生效不满3个月可不进行收益分配；</w:t>
      </w:r>
    </w:p>
    <w:p w14:paraId="4CC34E41">
      <w:pPr>
        <w:spacing w:line="360" w:lineRule="auto"/>
        <w:ind w:firstLine="480" w:firstLineChars="200"/>
        <w:rPr>
          <w:bCs/>
          <w:sz w:val="24"/>
          <w:szCs w:val="24"/>
        </w:rPr>
      </w:pPr>
      <w:r>
        <w:rPr>
          <w:bCs/>
          <w:sz w:val="24"/>
          <w:szCs w:val="24"/>
        </w:rPr>
        <w:t>2、本基金收益分配方式分两种：现金分红与红利再投资，投资者可选择现金红利或将现金红利自动转为</w:t>
      </w:r>
      <w:r>
        <w:rPr>
          <w:rFonts w:hint="eastAsia"/>
          <w:bCs/>
          <w:sz w:val="24"/>
        </w:rPr>
        <w:t>相应类别的</w:t>
      </w:r>
      <w:r>
        <w:rPr>
          <w:bCs/>
          <w:sz w:val="24"/>
          <w:szCs w:val="24"/>
        </w:rPr>
        <w:t>基金份额进行再投资；若投资者不选择，本基金默认的收益分配方式是现金分红；</w:t>
      </w:r>
      <w:r>
        <w:rPr>
          <w:rFonts w:hint="eastAsia"/>
          <w:bCs/>
          <w:sz w:val="24"/>
          <w:szCs w:val="24"/>
        </w:rPr>
        <w:t xml:space="preserve"> </w:t>
      </w:r>
    </w:p>
    <w:p w14:paraId="7B9DFD2F">
      <w:pPr>
        <w:spacing w:line="360" w:lineRule="auto"/>
        <w:ind w:firstLine="480" w:firstLineChars="200"/>
        <w:rPr>
          <w:bCs/>
          <w:sz w:val="24"/>
          <w:szCs w:val="24"/>
        </w:rPr>
      </w:pPr>
      <w:r>
        <w:rPr>
          <w:bCs/>
          <w:sz w:val="24"/>
          <w:szCs w:val="24"/>
        </w:rPr>
        <w:t>3、基金收益分配后</w:t>
      </w:r>
      <w:r>
        <w:rPr>
          <w:rFonts w:hint="eastAsia"/>
          <w:bCs/>
          <w:sz w:val="24"/>
        </w:rPr>
        <w:t>任一类</w:t>
      </w:r>
      <w:r>
        <w:rPr>
          <w:bCs/>
          <w:sz w:val="24"/>
          <w:szCs w:val="24"/>
        </w:rPr>
        <w:t>基金份额净值不能低于面值；即基金收益分配基准日的</w:t>
      </w:r>
      <w:r>
        <w:rPr>
          <w:rFonts w:hint="eastAsia"/>
          <w:bCs/>
          <w:sz w:val="24"/>
        </w:rPr>
        <w:t>任一类</w:t>
      </w:r>
      <w:r>
        <w:rPr>
          <w:bCs/>
          <w:sz w:val="24"/>
          <w:szCs w:val="24"/>
        </w:rPr>
        <w:t>基金份额净值减去</w:t>
      </w:r>
      <w:r>
        <w:rPr>
          <w:rFonts w:hint="eastAsia"/>
          <w:bCs/>
          <w:sz w:val="24"/>
        </w:rPr>
        <w:t>该类</w:t>
      </w:r>
      <w:r>
        <w:rPr>
          <w:bCs/>
          <w:sz w:val="24"/>
          <w:szCs w:val="24"/>
        </w:rPr>
        <w:t>每单位基金份额收益分配金额后不能低于面值</w:t>
      </w:r>
      <w:r>
        <w:rPr>
          <w:rFonts w:hint="eastAsia"/>
          <w:bCs/>
          <w:sz w:val="24"/>
          <w:szCs w:val="24"/>
        </w:rPr>
        <w:t>；</w:t>
      </w:r>
    </w:p>
    <w:p w14:paraId="7706F1A7">
      <w:pPr>
        <w:spacing w:line="360" w:lineRule="auto"/>
        <w:ind w:firstLine="480" w:firstLineChars="200"/>
        <w:rPr>
          <w:rFonts w:ascii="宋体" w:hAnsi="宋体"/>
          <w:sz w:val="24"/>
        </w:rPr>
      </w:pPr>
      <w:r>
        <w:rPr>
          <w:rFonts w:hint="eastAsia" w:ascii="宋体" w:hAnsi="宋体"/>
          <w:sz w:val="24"/>
        </w:rPr>
        <w:t>4、由于本基金A类基金份额不收取销售服务费，而C类基金份额收取销售服务费，各类别基金份额对应的可供分配利润将有所不同。本基金同一类别的每一基金份额享有同等分配权；</w:t>
      </w:r>
    </w:p>
    <w:p w14:paraId="7CFB4985">
      <w:pPr>
        <w:spacing w:line="360" w:lineRule="auto"/>
        <w:ind w:firstLine="480" w:firstLineChars="200"/>
        <w:rPr>
          <w:bCs/>
          <w:sz w:val="24"/>
          <w:szCs w:val="24"/>
        </w:rPr>
      </w:pPr>
      <w:r>
        <w:rPr>
          <w:bCs/>
          <w:sz w:val="24"/>
          <w:szCs w:val="24"/>
        </w:rPr>
        <w:t>5、法律法规或监管机关另有规定的，从其规定。</w:t>
      </w:r>
    </w:p>
    <w:p w14:paraId="4F4061C3">
      <w:pPr>
        <w:spacing w:line="360" w:lineRule="auto"/>
        <w:ind w:firstLine="480" w:firstLineChars="200"/>
        <w:rPr>
          <w:bCs/>
          <w:sz w:val="24"/>
          <w:szCs w:val="24"/>
        </w:rPr>
      </w:pPr>
      <w:r>
        <w:rPr>
          <w:rFonts w:hint="eastAsia"/>
          <w:bCs/>
          <w:sz w:val="24"/>
          <w:szCs w:val="24"/>
        </w:rPr>
        <w:t>（四）</w:t>
      </w:r>
      <w:r>
        <w:rPr>
          <w:bCs/>
          <w:sz w:val="24"/>
          <w:szCs w:val="24"/>
        </w:rPr>
        <w:t>收益分配方案</w:t>
      </w:r>
    </w:p>
    <w:p w14:paraId="73F345C9">
      <w:pPr>
        <w:spacing w:line="360" w:lineRule="auto"/>
        <w:ind w:firstLine="480" w:firstLineChars="200"/>
        <w:rPr>
          <w:bCs/>
          <w:sz w:val="24"/>
          <w:szCs w:val="24"/>
        </w:rPr>
      </w:pPr>
      <w:r>
        <w:rPr>
          <w:bCs/>
          <w:sz w:val="24"/>
          <w:szCs w:val="24"/>
        </w:rPr>
        <w:t>基金收益分配方案中应载明截止收益分配基准日的可供分配利润、基金收益分配对象、分配时间、分配数额及比例、分配方式等内容。</w:t>
      </w:r>
    </w:p>
    <w:p w14:paraId="56C928F4">
      <w:pPr>
        <w:spacing w:line="360" w:lineRule="auto"/>
        <w:ind w:firstLine="480" w:firstLineChars="200"/>
        <w:rPr>
          <w:bCs/>
          <w:sz w:val="24"/>
          <w:szCs w:val="24"/>
        </w:rPr>
      </w:pPr>
      <w:r>
        <w:rPr>
          <w:rFonts w:hint="eastAsia"/>
          <w:bCs/>
          <w:sz w:val="24"/>
          <w:szCs w:val="24"/>
        </w:rPr>
        <w:t>（五）</w:t>
      </w:r>
      <w:r>
        <w:rPr>
          <w:bCs/>
          <w:sz w:val="24"/>
          <w:szCs w:val="24"/>
        </w:rPr>
        <w:t>收益分配方案的确定、公告与实施</w:t>
      </w:r>
    </w:p>
    <w:p w14:paraId="7E34F912">
      <w:pPr>
        <w:spacing w:line="360" w:lineRule="auto"/>
        <w:ind w:firstLine="480" w:firstLineChars="200"/>
        <w:rPr>
          <w:bCs/>
          <w:sz w:val="24"/>
          <w:szCs w:val="24"/>
        </w:rPr>
      </w:pPr>
      <w:r>
        <w:rPr>
          <w:bCs/>
          <w:sz w:val="24"/>
          <w:szCs w:val="24"/>
        </w:rPr>
        <w:t>本基金收益分配方案由基金管理人拟定，并由基金托管人复核</w:t>
      </w:r>
      <w:r>
        <w:rPr>
          <w:rFonts w:hint="eastAsia"/>
          <w:bCs/>
          <w:sz w:val="24"/>
          <w:szCs w:val="24"/>
        </w:rPr>
        <w:t>，按规定</w:t>
      </w:r>
      <w:r>
        <w:rPr>
          <w:bCs/>
          <w:sz w:val="24"/>
          <w:szCs w:val="24"/>
        </w:rPr>
        <w:t>在指定媒介公告。</w:t>
      </w:r>
    </w:p>
    <w:p w14:paraId="51441EF9">
      <w:pPr>
        <w:spacing w:line="360" w:lineRule="auto"/>
        <w:ind w:firstLine="480" w:firstLineChars="200"/>
        <w:rPr>
          <w:bCs/>
          <w:sz w:val="24"/>
          <w:szCs w:val="24"/>
        </w:rPr>
      </w:pPr>
      <w:r>
        <w:rPr>
          <w:bCs/>
          <w:sz w:val="24"/>
          <w:szCs w:val="24"/>
        </w:rPr>
        <w:t>基金红利发放日距离收益分配基准日（即可供分配利润计算截止日）的时间不得超过15个工作日。</w:t>
      </w:r>
    </w:p>
    <w:p w14:paraId="3D6524FA">
      <w:pPr>
        <w:spacing w:line="360" w:lineRule="auto"/>
        <w:ind w:firstLine="480" w:firstLineChars="200"/>
        <w:rPr>
          <w:bCs/>
          <w:sz w:val="24"/>
          <w:szCs w:val="24"/>
        </w:rPr>
      </w:pPr>
      <w:r>
        <w:rPr>
          <w:rFonts w:hint="eastAsia"/>
          <w:bCs/>
          <w:sz w:val="24"/>
          <w:szCs w:val="24"/>
        </w:rPr>
        <w:t>（六）</w:t>
      </w:r>
      <w:r>
        <w:rPr>
          <w:bCs/>
          <w:sz w:val="24"/>
          <w:szCs w:val="24"/>
        </w:rPr>
        <w:t>基金收益分配中发生的费用</w:t>
      </w:r>
    </w:p>
    <w:p w14:paraId="6C486196">
      <w:pPr>
        <w:spacing w:line="360" w:lineRule="auto"/>
        <w:ind w:firstLine="480" w:firstLineChars="200"/>
        <w:rPr>
          <w:bCs/>
          <w:sz w:val="24"/>
          <w:szCs w:val="24"/>
        </w:rPr>
      </w:pPr>
      <w:r>
        <w:rPr>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rFonts w:hint="eastAsia"/>
          <w:bCs/>
          <w:sz w:val="24"/>
        </w:rPr>
        <w:t>相应类别的</w:t>
      </w:r>
      <w:r>
        <w:rPr>
          <w:bCs/>
          <w:sz w:val="24"/>
          <w:szCs w:val="24"/>
        </w:rPr>
        <w:t>基金份额。红利再投资的计算方法，依照《业务规则》执行。</w:t>
      </w:r>
    </w:p>
    <w:p w14:paraId="2FD49E5F">
      <w:pPr>
        <w:spacing w:line="360" w:lineRule="auto"/>
        <w:ind w:firstLine="480" w:firstLineChars="200"/>
        <w:rPr>
          <w:bCs/>
          <w:sz w:val="24"/>
        </w:rPr>
      </w:pPr>
      <w:r>
        <w:rPr>
          <w:rFonts w:hint="eastAsia"/>
          <w:bCs/>
          <w:sz w:val="24"/>
        </w:rPr>
        <w:t>（七）实施侧袋机制期间的收益分配</w:t>
      </w:r>
    </w:p>
    <w:p w14:paraId="0ACC6520">
      <w:pPr>
        <w:spacing w:line="360" w:lineRule="auto"/>
        <w:ind w:firstLine="480" w:firstLineChars="200"/>
        <w:rPr>
          <w:bCs/>
          <w:sz w:val="24"/>
        </w:rPr>
      </w:pPr>
      <w:r>
        <w:rPr>
          <w:rFonts w:hint="eastAsia"/>
          <w:bCs/>
          <w:sz w:val="24"/>
        </w:rPr>
        <w:t>本基金实施侧袋机制的，侧袋账户不进行收益分配，详见招募说明书的规定。</w:t>
      </w:r>
    </w:p>
    <w:p w14:paraId="5E504275">
      <w:pPr>
        <w:spacing w:line="360" w:lineRule="auto"/>
        <w:ind w:firstLine="480" w:firstLineChars="200"/>
        <w:rPr>
          <w:bCs/>
          <w:sz w:val="24"/>
          <w:szCs w:val="24"/>
        </w:rPr>
      </w:pPr>
      <w:r>
        <w:rPr>
          <w:rFonts w:hint="eastAsia"/>
          <w:bCs/>
          <w:sz w:val="24"/>
          <w:szCs w:val="24"/>
        </w:rPr>
        <w:t>四、与基金财产管理、运用有关费用的提取、支付方式与比例</w:t>
      </w:r>
    </w:p>
    <w:p w14:paraId="4812676F">
      <w:pPr>
        <w:spacing w:line="360" w:lineRule="auto"/>
        <w:ind w:firstLine="480" w:firstLineChars="200"/>
        <w:rPr>
          <w:bCs/>
          <w:sz w:val="24"/>
          <w:szCs w:val="24"/>
        </w:rPr>
      </w:pPr>
      <w:r>
        <w:rPr>
          <w:rFonts w:hint="eastAsia"/>
          <w:bCs/>
          <w:sz w:val="24"/>
          <w:szCs w:val="24"/>
        </w:rPr>
        <w:t>（一）</w:t>
      </w:r>
      <w:r>
        <w:rPr>
          <w:bCs/>
          <w:sz w:val="24"/>
          <w:szCs w:val="24"/>
        </w:rPr>
        <w:t>基金费用的种类</w:t>
      </w:r>
    </w:p>
    <w:p w14:paraId="0516DA81">
      <w:pPr>
        <w:spacing w:line="360" w:lineRule="auto"/>
        <w:ind w:firstLine="480" w:firstLineChars="200"/>
        <w:rPr>
          <w:bCs/>
          <w:sz w:val="24"/>
          <w:szCs w:val="24"/>
        </w:rPr>
      </w:pPr>
      <w:r>
        <w:rPr>
          <w:bCs/>
          <w:sz w:val="24"/>
          <w:szCs w:val="24"/>
        </w:rPr>
        <w:t>1、基金管理人的管理费；</w:t>
      </w:r>
    </w:p>
    <w:p w14:paraId="58C93DC9">
      <w:pPr>
        <w:spacing w:line="360" w:lineRule="auto"/>
        <w:ind w:firstLine="480" w:firstLineChars="200"/>
        <w:rPr>
          <w:bCs/>
          <w:sz w:val="24"/>
          <w:szCs w:val="24"/>
        </w:rPr>
      </w:pPr>
      <w:r>
        <w:rPr>
          <w:bCs/>
          <w:sz w:val="24"/>
          <w:szCs w:val="24"/>
        </w:rPr>
        <w:t>2、基金托管人的托管费；</w:t>
      </w:r>
    </w:p>
    <w:p w14:paraId="3B542754">
      <w:pPr>
        <w:spacing w:line="360" w:lineRule="auto"/>
        <w:ind w:firstLine="480" w:firstLineChars="200"/>
        <w:rPr>
          <w:bCs/>
          <w:sz w:val="24"/>
        </w:rPr>
      </w:pPr>
      <w:r>
        <w:rPr>
          <w:rFonts w:hint="eastAsia"/>
          <w:bCs/>
          <w:sz w:val="24"/>
        </w:rPr>
        <w:t>3、基金的销售服务费；</w:t>
      </w:r>
    </w:p>
    <w:p w14:paraId="26759D28">
      <w:pPr>
        <w:spacing w:line="360" w:lineRule="auto"/>
        <w:ind w:firstLine="480" w:firstLineChars="200"/>
        <w:rPr>
          <w:bCs/>
          <w:sz w:val="24"/>
          <w:szCs w:val="24"/>
        </w:rPr>
      </w:pPr>
      <w:r>
        <w:rPr>
          <w:rFonts w:hint="eastAsia"/>
          <w:bCs/>
          <w:sz w:val="24"/>
          <w:szCs w:val="24"/>
        </w:rPr>
        <w:t>4</w:t>
      </w:r>
      <w:r>
        <w:rPr>
          <w:bCs/>
          <w:sz w:val="24"/>
          <w:szCs w:val="24"/>
        </w:rPr>
        <w:t>、《基金合同》生效后与基金相关的信息披露费用</w:t>
      </w:r>
      <w:r>
        <w:rPr>
          <w:rFonts w:hint="eastAsia"/>
          <w:bCs/>
          <w:sz w:val="24"/>
          <w:szCs w:val="24"/>
        </w:rPr>
        <w:t>，但法律法规或中国证监会另有规定的除外</w:t>
      </w:r>
      <w:r>
        <w:rPr>
          <w:bCs/>
          <w:sz w:val="24"/>
          <w:szCs w:val="24"/>
        </w:rPr>
        <w:t>；</w:t>
      </w:r>
    </w:p>
    <w:p w14:paraId="091AC0A1">
      <w:pPr>
        <w:spacing w:line="360" w:lineRule="auto"/>
        <w:ind w:firstLine="480" w:firstLineChars="200"/>
        <w:rPr>
          <w:bCs/>
          <w:sz w:val="24"/>
          <w:szCs w:val="24"/>
        </w:rPr>
      </w:pPr>
      <w:r>
        <w:rPr>
          <w:rFonts w:hint="eastAsia"/>
          <w:bCs/>
          <w:sz w:val="24"/>
          <w:szCs w:val="24"/>
        </w:rPr>
        <w:t>5</w:t>
      </w:r>
      <w:r>
        <w:rPr>
          <w:bCs/>
          <w:sz w:val="24"/>
          <w:szCs w:val="24"/>
        </w:rPr>
        <w:t>、《基金合同》生效后与基金相关的会计师费、律师费</w:t>
      </w:r>
      <w:r>
        <w:rPr>
          <w:rFonts w:hint="eastAsia"/>
          <w:bCs/>
          <w:sz w:val="24"/>
          <w:szCs w:val="24"/>
        </w:rPr>
        <w:t>、</w:t>
      </w:r>
      <w:r>
        <w:rPr>
          <w:bCs/>
          <w:sz w:val="24"/>
          <w:szCs w:val="24"/>
        </w:rPr>
        <w:t>诉讼费</w:t>
      </w:r>
      <w:r>
        <w:rPr>
          <w:rFonts w:hint="eastAsia"/>
          <w:bCs/>
          <w:sz w:val="24"/>
          <w:szCs w:val="24"/>
        </w:rPr>
        <w:t>和仲裁费</w:t>
      </w:r>
      <w:r>
        <w:rPr>
          <w:bCs/>
          <w:sz w:val="24"/>
          <w:szCs w:val="24"/>
        </w:rPr>
        <w:t>；</w:t>
      </w:r>
    </w:p>
    <w:p w14:paraId="625CA3B2">
      <w:pPr>
        <w:spacing w:line="360" w:lineRule="auto"/>
        <w:ind w:firstLine="480" w:firstLineChars="200"/>
        <w:rPr>
          <w:bCs/>
          <w:sz w:val="24"/>
          <w:szCs w:val="24"/>
        </w:rPr>
      </w:pPr>
      <w:r>
        <w:rPr>
          <w:rFonts w:hint="eastAsia"/>
          <w:bCs/>
          <w:sz w:val="24"/>
          <w:szCs w:val="24"/>
        </w:rPr>
        <w:t>6</w:t>
      </w:r>
      <w:r>
        <w:rPr>
          <w:bCs/>
          <w:sz w:val="24"/>
          <w:szCs w:val="24"/>
        </w:rPr>
        <w:t>、基金份额持有人大会费用；</w:t>
      </w:r>
    </w:p>
    <w:p w14:paraId="1700E13F">
      <w:pPr>
        <w:spacing w:line="360" w:lineRule="auto"/>
        <w:ind w:firstLine="480" w:firstLineChars="200"/>
        <w:rPr>
          <w:bCs/>
          <w:sz w:val="24"/>
          <w:szCs w:val="24"/>
        </w:rPr>
      </w:pPr>
      <w:r>
        <w:rPr>
          <w:rFonts w:hint="eastAsia"/>
          <w:bCs/>
          <w:sz w:val="24"/>
          <w:szCs w:val="24"/>
        </w:rPr>
        <w:t>7</w:t>
      </w:r>
      <w:r>
        <w:rPr>
          <w:bCs/>
          <w:sz w:val="24"/>
          <w:szCs w:val="24"/>
        </w:rPr>
        <w:t>、基金的证券</w:t>
      </w:r>
      <w:r>
        <w:rPr>
          <w:rFonts w:hint="eastAsia"/>
          <w:bCs/>
          <w:sz w:val="24"/>
          <w:szCs w:val="24"/>
        </w:rPr>
        <w:t>、期货</w:t>
      </w:r>
      <w:r>
        <w:rPr>
          <w:bCs/>
          <w:sz w:val="24"/>
          <w:szCs w:val="24"/>
        </w:rPr>
        <w:t>交易费用；</w:t>
      </w:r>
    </w:p>
    <w:p w14:paraId="17CDF1D9">
      <w:pPr>
        <w:spacing w:line="360" w:lineRule="auto"/>
        <w:ind w:firstLine="480" w:firstLineChars="200"/>
        <w:rPr>
          <w:bCs/>
          <w:sz w:val="24"/>
          <w:szCs w:val="24"/>
        </w:rPr>
      </w:pPr>
      <w:r>
        <w:rPr>
          <w:rFonts w:hint="eastAsia"/>
          <w:bCs/>
          <w:sz w:val="24"/>
          <w:szCs w:val="24"/>
        </w:rPr>
        <w:t>8</w:t>
      </w:r>
      <w:r>
        <w:rPr>
          <w:bCs/>
          <w:sz w:val="24"/>
          <w:szCs w:val="24"/>
        </w:rPr>
        <w:t>、基金的银行汇划费用；</w:t>
      </w:r>
    </w:p>
    <w:p w14:paraId="52C3E201">
      <w:pPr>
        <w:spacing w:line="360" w:lineRule="auto"/>
        <w:ind w:firstLine="480" w:firstLineChars="200"/>
        <w:rPr>
          <w:bCs/>
          <w:sz w:val="24"/>
          <w:szCs w:val="24"/>
        </w:rPr>
      </w:pPr>
      <w:r>
        <w:rPr>
          <w:rFonts w:hint="eastAsia"/>
          <w:bCs/>
          <w:sz w:val="24"/>
          <w:szCs w:val="24"/>
        </w:rPr>
        <w:t>9</w:t>
      </w:r>
      <w:r>
        <w:rPr>
          <w:bCs/>
          <w:sz w:val="24"/>
          <w:szCs w:val="24"/>
        </w:rPr>
        <w:t>、</w:t>
      </w:r>
      <w:r>
        <w:rPr>
          <w:rFonts w:hint="eastAsia"/>
          <w:bCs/>
          <w:sz w:val="24"/>
          <w:szCs w:val="24"/>
        </w:rPr>
        <w:t>基金的开户费用、账户维护费用</w:t>
      </w:r>
    </w:p>
    <w:p w14:paraId="3FC227D7">
      <w:pPr>
        <w:spacing w:line="360" w:lineRule="auto"/>
        <w:ind w:firstLine="480" w:firstLineChars="200"/>
        <w:rPr>
          <w:bCs/>
          <w:sz w:val="24"/>
          <w:szCs w:val="24"/>
        </w:rPr>
      </w:pPr>
      <w:r>
        <w:rPr>
          <w:rFonts w:hint="eastAsia"/>
          <w:bCs/>
          <w:sz w:val="24"/>
          <w:szCs w:val="24"/>
        </w:rPr>
        <w:t>10</w:t>
      </w:r>
      <w:r>
        <w:rPr>
          <w:bCs/>
          <w:sz w:val="24"/>
          <w:szCs w:val="24"/>
        </w:rPr>
        <w:t>、按照国家有关规定和《基金合同》约定，可以在基金财产中列支的其他费用。</w:t>
      </w:r>
    </w:p>
    <w:p w14:paraId="167F3707">
      <w:pPr>
        <w:spacing w:line="360" w:lineRule="auto"/>
        <w:ind w:firstLine="480" w:firstLineChars="200"/>
        <w:rPr>
          <w:bCs/>
          <w:sz w:val="24"/>
          <w:szCs w:val="24"/>
        </w:rPr>
      </w:pPr>
      <w:r>
        <w:rPr>
          <w:rFonts w:hint="eastAsia"/>
          <w:bCs/>
          <w:sz w:val="24"/>
          <w:szCs w:val="24"/>
        </w:rPr>
        <w:t>（二）</w:t>
      </w:r>
      <w:r>
        <w:rPr>
          <w:bCs/>
          <w:sz w:val="24"/>
          <w:szCs w:val="24"/>
        </w:rPr>
        <w:t>基金费用计提方法、计提标准和支付方式</w:t>
      </w:r>
    </w:p>
    <w:p w14:paraId="296ECBCE">
      <w:pPr>
        <w:spacing w:line="360" w:lineRule="auto"/>
        <w:ind w:firstLine="480" w:firstLineChars="200"/>
        <w:rPr>
          <w:bCs/>
          <w:sz w:val="24"/>
          <w:szCs w:val="24"/>
        </w:rPr>
      </w:pPr>
      <w:r>
        <w:rPr>
          <w:bCs/>
          <w:sz w:val="24"/>
          <w:szCs w:val="24"/>
        </w:rPr>
        <w:t xml:space="preserve">1、基金管理人的管理费 </w:t>
      </w:r>
    </w:p>
    <w:p w14:paraId="1A8D6386">
      <w:pPr>
        <w:spacing w:line="360" w:lineRule="auto"/>
        <w:ind w:firstLine="480" w:firstLineChars="200"/>
        <w:rPr>
          <w:bCs/>
          <w:sz w:val="24"/>
          <w:szCs w:val="24"/>
        </w:rPr>
      </w:pPr>
      <w:r>
        <w:rPr>
          <w:bCs/>
          <w:sz w:val="24"/>
          <w:szCs w:val="24"/>
        </w:rPr>
        <w:t>本基金的管理费按前一日基金资产净值的</w:t>
      </w:r>
      <w:r>
        <w:rPr>
          <w:rFonts w:hint="eastAsia"/>
          <w:bCs/>
          <w:sz w:val="24"/>
          <w:szCs w:val="24"/>
        </w:rPr>
        <w:t>0.6</w:t>
      </w:r>
      <w:r>
        <w:rPr>
          <w:bCs/>
          <w:sz w:val="24"/>
          <w:szCs w:val="24"/>
        </w:rPr>
        <w:t>%年费率计提。管理费的计算方法如下：</w:t>
      </w:r>
    </w:p>
    <w:p w14:paraId="3D2FBC4F">
      <w:pPr>
        <w:spacing w:line="360" w:lineRule="auto"/>
        <w:ind w:firstLine="480" w:firstLineChars="200"/>
        <w:rPr>
          <w:bCs/>
          <w:sz w:val="24"/>
          <w:szCs w:val="24"/>
        </w:rPr>
      </w:pPr>
      <w:r>
        <w:rPr>
          <w:bCs/>
          <w:sz w:val="24"/>
          <w:szCs w:val="24"/>
        </w:rPr>
        <w:t>H＝E×</w:t>
      </w:r>
      <w:r>
        <w:rPr>
          <w:rFonts w:hint="eastAsia" w:ascii="宋体" w:hAnsi="宋体"/>
          <w:sz w:val="24"/>
          <w:szCs w:val="24"/>
        </w:rPr>
        <w:t>0.6</w:t>
      </w:r>
      <w:r>
        <w:rPr>
          <w:bCs/>
          <w:sz w:val="24"/>
          <w:szCs w:val="24"/>
        </w:rPr>
        <w:t>%÷当年天数</w:t>
      </w:r>
    </w:p>
    <w:p w14:paraId="6B57F81D">
      <w:pPr>
        <w:spacing w:line="360" w:lineRule="auto"/>
        <w:ind w:firstLine="480" w:firstLineChars="200"/>
        <w:rPr>
          <w:bCs/>
          <w:sz w:val="24"/>
          <w:szCs w:val="24"/>
        </w:rPr>
      </w:pPr>
      <w:r>
        <w:rPr>
          <w:bCs/>
          <w:sz w:val="24"/>
          <w:szCs w:val="24"/>
        </w:rPr>
        <w:t>H为每日应计提的基金管理费</w:t>
      </w:r>
    </w:p>
    <w:p w14:paraId="28D67370">
      <w:pPr>
        <w:spacing w:line="360" w:lineRule="auto"/>
        <w:ind w:firstLine="480" w:firstLineChars="200"/>
        <w:rPr>
          <w:bCs/>
          <w:sz w:val="24"/>
          <w:szCs w:val="24"/>
        </w:rPr>
      </w:pPr>
      <w:r>
        <w:rPr>
          <w:bCs/>
          <w:sz w:val="24"/>
          <w:szCs w:val="24"/>
        </w:rPr>
        <w:t>E为前一日的基金资产净值</w:t>
      </w:r>
    </w:p>
    <w:p w14:paraId="46174FC0">
      <w:pPr>
        <w:spacing w:line="360" w:lineRule="auto"/>
        <w:ind w:firstLine="480" w:firstLineChars="200"/>
        <w:rPr>
          <w:bCs/>
          <w:sz w:val="24"/>
          <w:szCs w:val="24"/>
          <w:shd w:val="pct10" w:color="auto" w:fill="FFFFFF"/>
        </w:rPr>
      </w:pPr>
      <w:r>
        <w:rPr>
          <w:rFonts w:hint="eastAsia"/>
          <w:bCs/>
          <w:sz w:val="24"/>
          <w:szCs w:val="24"/>
        </w:rPr>
        <w:t>基金管理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075B5E35">
      <w:pPr>
        <w:spacing w:line="360" w:lineRule="auto"/>
        <w:ind w:firstLine="480" w:firstLineChars="200"/>
        <w:rPr>
          <w:bCs/>
          <w:sz w:val="24"/>
          <w:szCs w:val="24"/>
        </w:rPr>
      </w:pPr>
      <w:r>
        <w:rPr>
          <w:bCs/>
          <w:sz w:val="24"/>
          <w:szCs w:val="24"/>
        </w:rPr>
        <w:t>2、基金托管人的托管费</w:t>
      </w:r>
    </w:p>
    <w:p w14:paraId="5739C87B">
      <w:pPr>
        <w:spacing w:line="360" w:lineRule="auto"/>
        <w:ind w:firstLine="480" w:firstLineChars="200"/>
        <w:rPr>
          <w:bCs/>
          <w:sz w:val="24"/>
          <w:szCs w:val="24"/>
        </w:rPr>
      </w:pPr>
      <w:r>
        <w:rPr>
          <w:bCs/>
          <w:sz w:val="24"/>
          <w:szCs w:val="24"/>
        </w:rPr>
        <w:t>本基金的托管费按前一日基金资产净值的</w:t>
      </w:r>
      <w:r>
        <w:rPr>
          <w:rFonts w:hint="eastAsia" w:ascii="宋体" w:hAnsi="宋体"/>
          <w:sz w:val="24"/>
          <w:szCs w:val="24"/>
        </w:rPr>
        <w:t>0.2</w:t>
      </w:r>
      <w:r>
        <w:rPr>
          <w:rFonts w:hint="eastAsia" w:ascii="宋体" w:hAnsi="宋体"/>
          <w:sz w:val="24"/>
          <w:szCs w:val="24"/>
          <w:lang w:val="en-US" w:eastAsia="zh-CN"/>
        </w:rPr>
        <w:t>0</w:t>
      </w:r>
      <w:r>
        <w:rPr>
          <w:bCs/>
          <w:sz w:val="24"/>
          <w:szCs w:val="24"/>
        </w:rPr>
        <w:t>%的年费率计提。托管费的计算方法如下：</w:t>
      </w:r>
    </w:p>
    <w:p w14:paraId="5ECCFD7C">
      <w:pPr>
        <w:spacing w:line="360" w:lineRule="auto"/>
        <w:ind w:firstLine="480" w:firstLineChars="200"/>
        <w:rPr>
          <w:bCs/>
          <w:sz w:val="24"/>
          <w:szCs w:val="24"/>
        </w:rPr>
      </w:pPr>
      <w:r>
        <w:rPr>
          <w:bCs/>
          <w:sz w:val="24"/>
          <w:szCs w:val="24"/>
        </w:rPr>
        <w:t>H＝E×</w:t>
      </w:r>
      <w:r>
        <w:rPr>
          <w:rFonts w:hint="eastAsia" w:ascii="宋体" w:hAnsi="宋体"/>
          <w:sz w:val="24"/>
          <w:szCs w:val="24"/>
        </w:rPr>
        <w:t>0.2</w:t>
      </w:r>
      <w:r>
        <w:rPr>
          <w:rFonts w:hint="eastAsia" w:ascii="宋体" w:hAnsi="宋体"/>
          <w:sz w:val="24"/>
          <w:szCs w:val="24"/>
          <w:lang w:val="en-US" w:eastAsia="zh-CN"/>
        </w:rPr>
        <w:t>0</w:t>
      </w:r>
      <w:r>
        <w:rPr>
          <w:bCs/>
          <w:sz w:val="24"/>
          <w:szCs w:val="24"/>
        </w:rPr>
        <w:t>%÷当年天数</w:t>
      </w:r>
    </w:p>
    <w:p w14:paraId="79255FFA">
      <w:pPr>
        <w:spacing w:line="360" w:lineRule="auto"/>
        <w:ind w:firstLine="480" w:firstLineChars="200"/>
        <w:rPr>
          <w:bCs/>
          <w:sz w:val="24"/>
          <w:szCs w:val="24"/>
        </w:rPr>
      </w:pPr>
      <w:r>
        <w:rPr>
          <w:bCs/>
          <w:sz w:val="24"/>
          <w:szCs w:val="24"/>
        </w:rPr>
        <w:t>H为每日应计提的基金托管费</w:t>
      </w:r>
    </w:p>
    <w:p w14:paraId="29DFE32C">
      <w:pPr>
        <w:spacing w:line="360" w:lineRule="auto"/>
        <w:ind w:firstLine="480" w:firstLineChars="200"/>
        <w:rPr>
          <w:bCs/>
          <w:sz w:val="24"/>
          <w:szCs w:val="24"/>
        </w:rPr>
      </w:pPr>
      <w:r>
        <w:rPr>
          <w:bCs/>
          <w:sz w:val="24"/>
          <w:szCs w:val="24"/>
        </w:rPr>
        <w:t>E为前一日的基金资产净值</w:t>
      </w:r>
    </w:p>
    <w:p w14:paraId="0D1AD173">
      <w:pPr>
        <w:spacing w:line="360" w:lineRule="auto"/>
        <w:ind w:firstLine="480" w:firstLineChars="200"/>
        <w:rPr>
          <w:bCs/>
          <w:sz w:val="24"/>
          <w:szCs w:val="24"/>
        </w:rPr>
      </w:pPr>
      <w:r>
        <w:rPr>
          <w:rFonts w:hint="eastAsia"/>
          <w:bCs/>
          <w:sz w:val="24"/>
          <w:szCs w:val="24"/>
        </w:rPr>
        <w:t>基金托管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58E1E0AC">
      <w:pPr>
        <w:spacing w:line="360" w:lineRule="auto"/>
        <w:ind w:firstLine="480" w:firstLineChars="200"/>
        <w:rPr>
          <w:bCs/>
          <w:sz w:val="24"/>
        </w:rPr>
      </w:pPr>
      <w:r>
        <w:rPr>
          <w:rFonts w:hint="eastAsia"/>
          <w:bCs/>
          <w:sz w:val="24"/>
        </w:rPr>
        <w:t>3、基金销售服务费</w:t>
      </w:r>
    </w:p>
    <w:p w14:paraId="6C7513A7">
      <w:pPr>
        <w:spacing w:line="360" w:lineRule="auto"/>
        <w:ind w:firstLine="480" w:firstLineChars="200"/>
        <w:rPr>
          <w:bCs/>
          <w:sz w:val="24"/>
        </w:rPr>
      </w:pPr>
      <w:r>
        <w:rPr>
          <w:rFonts w:hint="eastAsia"/>
          <w:bCs/>
          <w:sz w:val="24"/>
        </w:rPr>
        <w:t>本基金A类基金份额不收取销售服务费，C类基金份额的销售服务费年费率为0.40%。本基金销售服务费将专门用于本基金的销售与基金份额持有人服务。基金的销售服务费按前一日C类基金份额基金资产净值的0.40%年费率计提。计算方法如下：</w:t>
      </w:r>
    </w:p>
    <w:p w14:paraId="627FE075">
      <w:pPr>
        <w:spacing w:line="360" w:lineRule="auto"/>
        <w:ind w:firstLine="480" w:firstLineChars="200"/>
        <w:rPr>
          <w:bCs/>
          <w:sz w:val="24"/>
        </w:rPr>
      </w:pPr>
      <w:r>
        <w:rPr>
          <w:rFonts w:hint="eastAsia"/>
          <w:bCs/>
          <w:sz w:val="24"/>
        </w:rPr>
        <w:t>H＝E×0.40%÷当年天数</w:t>
      </w:r>
    </w:p>
    <w:p w14:paraId="5ED2CCD5">
      <w:pPr>
        <w:spacing w:line="360" w:lineRule="auto"/>
        <w:ind w:firstLine="480" w:firstLineChars="200"/>
        <w:rPr>
          <w:bCs/>
          <w:sz w:val="24"/>
        </w:rPr>
      </w:pPr>
      <w:r>
        <w:rPr>
          <w:rFonts w:hint="eastAsia"/>
          <w:bCs/>
          <w:sz w:val="24"/>
        </w:rPr>
        <w:t>H为C类基金份额每日应计提的销售服务费</w:t>
      </w:r>
    </w:p>
    <w:p w14:paraId="5808E989">
      <w:pPr>
        <w:spacing w:line="360" w:lineRule="auto"/>
        <w:ind w:firstLine="480" w:firstLineChars="200"/>
        <w:rPr>
          <w:bCs/>
          <w:sz w:val="24"/>
        </w:rPr>
      </w:pPr>
      <w:r>
        <w:rPr>
          <w:rFonts w:hint="eastAsia"/>
          <w:bCs/>
          <w:sz w:val="24"/>
        </w:rPr>
        <w:t>E为C类基金份额前一日基金资产净值</w:t>
      </w:r>
    </w:p>
    <w:p w14:paraId="37897FDB">
      <w:pPr>
        <w:spacing w:line="360" w:lineRule="auto"/>
        <w:ind w:firstLine="480" w:firstLineChars="200"/>
        <w:rPr>
          <w:bCs/>
          <w:sz w:val="24"/>
        </w:rPr>
      </w:pPr>
      <w:r>
        <w:rPr>
          <w:rFonts w:hint="eastAsia"/>
          <w:bCs/>
          <w:sz w:val="24"/>
        </w:rPr>
        <w:t>基金销售服务费每日计提，逐日累计至每月月末，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68F404A9">
      <w:pPr>
        <w:spacing w:line="360" w:lineRule="auto"/>
        <w:ind w:firstLine="480" w:firstLineChars="200"/>
        <w:rPr>
          <w:bCs/>
          <w:sz w:val="24"/>
        </w:rPr>
      </w:pPr>
    </w:p>
    <w:p w14:paraId="7463A3B4">
      <w:pPr>
        <w:spacing w:line="360" w:lineRule="auto"/>
        <w:ind w:firstLine="480" w:firstLineChars="200"/>
        <w:rPr>
          <w:bCs/>
          <w:sz w:val="24"/>
          <w:szCs w:val="24"/>
        </w:rPr>
      </w:pPr>
      <w:r>
        <w:rPr>
          <w:bCs/>
          <w:sz w:val="24"/>
          <w:szCs w:val="24"/>
        </w:rPr>
        <w:t>上述“</w:t>
      </w:r>
      <w:r>
        <w:rPr>
          <w:rFonts w:hint="eastAsia"/>
          <w:bCs/>
          <w:sz w:val="24"/>
          <w:szCs w:val="24"/>
        </w:rPr>
        <w:t>（一）</w:t>
      </w:r>
      <w:r>
        <w:rPr>
          <w:bCs/>
          <w:sz w:val="24"/>
          <w:szCs w:val="24"/>
        </w:rPr>
        <w:t>基金费用的种类中第</w:t>
      </w:r>
      <w:r>
        <w:rPr>
          <w:rFonts w:hint="eastAsia"/>
          <w:bCs/>
          <w:sz w:val="24"/>
          <w:szCs w:val="24"/>
        </w:rPr>
        <w:t>4</w:t>
      </w:r>
      <w:r>
        <w:rPr>
          <w:bCs/>
          <w:sz w:val="24"/>
          <w:szCs w:val="24"/>
        </w:rPr>
        <w:t>－</w:t>
      </w:r>
      <w:r>
        <w:rPr>
          <w:rFonts w:hint="eastAsia"/>
          <w:bCs/>
          <w:sz w:val="24"/>
          <w:szCs w:val="24"/>
        </w:rPr>
        <w:t>10</w:t>
      </w:r>
      <w:r>
        <w:rPr>
          <w:bCs/>
          <w:sz w:val="24"/>
          <w:szCs w:val="24"/>
        </w:rPr>
        <w:t>项费用”，根据有关法规及相应协议规定，按费用实际支出金额列入当期费用，由基金托管人从基金财产中支付。</w:t>
      </w:r>
    </w:p>
    <w:p w14:paraId="2D8C2834">
      <w:pPr>
        <w:spacing w:line="360" w:lineRule="auto"/>
        <w:ind w:firstLine="480" w:firstLineChars="200"/>
        <w:rPr>
          <w:bCs/>
          <w:sz w:val="24"/>
          <w:szCs w:val="24"/>
        </w:rPr>
      </w:pPr>
      <w:r>
        <w:rPr>
          <w:rFonts w:hint="eastAsia"/>
          <w:bCs/>
          <w:sz w:val="24"/>
          <w:szCs w:val="24"/>
        </w:rPr>
        <w:t>（三）</w:t>
      </w:r>
      <w:r>
        <w:rPr>
          <w:bCs/>
          <w:sz w:val="24"/>
          <w:szCs w:val="24"/>
        </w:rPr>
        <w:t>不列入基金费用的项目</w:t>
      </w:r>
    </w:p>
    <w:p w14:paraId="74EF1772">
      <w:pPr>
        <w:spacing w:line="360" w:lineRule="auto"/>
        <w:ind w:firstLine="480" w:firstLineChars="200"/>
        <w:rPr>
          <w:bCs/>
          <w:sz w:val="24"/>
          <w:szCs w:val="24"/>
        </w:rPr>
      </w:pPr>
      <w:r>
        <w:rPr>
          <w:bCs/>
          <w:sz w:val="24"/>
          <w:szCs w:val="24"/>
        </w:rPr>
        <w:t>下列费用不列入基金费用：</w:t>
      </w:r>
    </w:p>
    <w:p w14:paraId="13637856">
      <w:pPr>
        <w:spacing w:line="360" w:lineRule="auto"/>
        <w:ind w:firstLine="480" w:firstLineChars="200"/>
        <w:rPr>
          <w:bCs/>
          <w:sz w:val="24"/>
          <w:szCs w:val="24"/>
        </w:rPr>
      </w:pPr>
      <w:r>
        <w:rPr>
          <w:bCs/>
          <w:sz w:val="24"/>
          <w:szCs w:val="24"/>
        </w:rPr>
        <w:t>1、基金管理人和基金托管人因未履行或未完全履行义务导致的费用支出或基金财产的损失；</w:t>
      </w:r>
    </w:p>
    <w:p w14:paraId="6A0C41E6">
      <w:pPr>
        <w:spacing w:line="360" w:lineRule="auto"/>
        <w:ind w:firstLine="480" w:firstLineChars="200"/>
        <w:rPr>
          <w:bCs/>
          <w:sz w:val="24"/>
          <w:szCs w:val="24"/>
        </w:rPr>
      </w:pPr>
      <w:r>
        <w:rPr>
          <w:bCs/>
          <w:sz w:val="24"/>
          <w:szCs w:val="24"/>
        </w:rPr>
        <w:t>2、基金管理人和基金托管人处理与基金运作无关的事项发生的费用；</w:t>
      </w:r>
    </w:p>
    <w:p w14:paraId="7348F968">
      <w:pPr>
        <w:spacing w:line="360" w:lineRule="auto"/>
        <w:ind w:firstLine="480" w:firstLineChars="200"/>
        <w:rPr>
          <w:bCs/>
          <w:sz w:val="24"/>
          <w:szCs w:val="24"/>
        </w:rPr>
      </w:pPr>
      <w:r>
        <w:rPr>
          <w:bCs/>
          <w:sz w:val="24"/>
          <w:szCs w:val="24"/>
        </w:rPr>
        <w:t>3、《基金合同》生效前的相关费用；</w:t>
      </w:r>
    </w:p>
    <w:p w14:paraId="5194F75A">
      <w:pPr>
        <w:spacing w:line="360" w:lineRule="auto"/>
        <w:ind w:firstLine="480" w:firstLineChars="200"/>
        <w:rPr>
          <w:bCs/>
          <w:sz w:val="24"/>
          <w:szCs w:val="24"/>
        </w:rPr>
      </w:pPr>
      <w:r>
        <w:rPr>
          <w:bCs/>
          <w:sz w:val="24"/>
          <w:szCs w:val="24"/>
        </w:rPr>
        <w:t>4、其他根据相关法律法规及中国证监会的有关规定不得列入基金费用的项目。</w:t>
      </w:r>
    </w:p>
    <w:p w14:paraId="5AE2192D">
      <w:pPr>
        <w:spacing w:line="360" w:lineRule="auto"/>
        <w:ind w:firstLine="480" w:firstLineChars="200"/>
        <w:rPr>
          <w:bCs/>
          <w:sz w:val="24"/>
        </w:rPr>
      </w:pPr>
      <w:r>
        <w:rPr>
          <w:rFonts w:hint="eastAsia"/>
          <w:bCs/>
          <w:sz w:val="24"/>
        </w:rPr>
        <w:t>（</w:t>
      </w:r>
      <w:r>
        <w:rPr>
          <w:bCs/>
          <w:sz w:val="24"/>
        </w:rPr>
        <w:t>四</w:t>
      </w:r>
      <w:r>
        <w:rPr>
          <w:rFonts w:hint="eastAsia"/>
          <w:bCs/>
          <w:sz w:val="24"/>
        </w:rPr>
        <w:t>）实施侧袋机制期间的基金费用</w:t>
      </w:r>
    </w:p>
    <w:p w14:paraId="2EECB940">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A8BA74A">
      <w:pPr>
        <w:spacing w:line="360" w:lineRule="auto"/>
        <w:ind w:firstLine="480" w:firstLineChars="200"/>
        <w:rPr>
          <w:bCs/>
          <w:sz w:val="24"/>
          <w:szCs w:val="24"/>
        </w:rPr>
      </w:pPr>
      <w:r>
        <w:rPr>
          <w:rFonts w:hint="eastAsia"/>
          <w:bCs/>
          <w:sz w:val="24"/>
          <w:szCs w:val="24"/>
        </w:rPr>
        <w:t>（五）</w:t>
      </w:r>
      <w:r>
        <w:rPr>
          <w:bCs/>
          <w:sz w:val="24"/>
          <w:szCs w:val="24"/>
        </w:rPr>
        <w:t>基金税收</w:t>
      </w:r>
    </w:p>
    <w:p w14:paraId="6A9D8FF5">
      <w:pPr>
        <w:spacing w:line="360" w:lineRule="auto"/>
        <w:ind w:firstLine="480" w:firstLineChars="200"/>
        <w:rPr>
          <w:bCs/>
          <w:sz w:val="24"/>
          <w:szCs w:val="24"/>
        </w:rPr>
      </w:pPr>
      <w:r>
        <w:rPr>
          <w:bCs/>
          <w:sz w:val="24"/>
          <w:szCs w:val="24"/>
        </w:rPr>
        <w:t>本基金运作过程中涉及的各纳税主体，其纳税义务按国家税收法律、法规执行。</w:t>
      </w:r>
    </w:p>
    <w:p w14:paraId="39A88E2F">
      <w:pPr>
        <w:spacing w:line="360" w:lineRule="auto"/>
        <w:ind w:firstLine="480" w:firstLineChars="200"/>
        <w:rPr>
          <w:bCs/>
          <w:sz w:val="24"/>
          <w:szCs w:val="24"/>
        </w:rPr>
      </w:pPr>
      <w:r>
        <w:rPr>
          <w:rFonts w:hint="eastAsia"/>
          <w:bCs/>
          <w:sz w:val="24"/>
          <w:szCs w:val="24"/>
        </w:rPr>
        <w:t>（六）基金管理费、基金托管费和销售服务费的调整</w:t>
      </w:r>
    </w:p>
    <w:p w14:paraId="1263754C">
      <w:pPr>
        <w:spacing w:line="360" w:lineRule="auto"/>
        <w:ind w:firstLine="480" w:firstLineChars="200"/>
        <w:rPr>
          <w:bCs/>
          <w:sz w:val="24"/>
          <w:szCs w:val="24"/>
        </w:rPr>
      </w:pPr>
      <w:r>
        <w:rPr>
          <w:rFonts w:hint="eastAsia"/>
          <w:bCs/>
          <w:sz w:val="24"/>
          <w:szCs w:val="24"/>
        </w:rPr>
        <w:t>基金管理人和基金托管人可协商酌情降低基金管理费和基金托管费和销售服务费，此项调整不需要基金份额持有人大会决议通过。基金管理人必须最迟于新的费率实施日2日前在指定媒介上刊登公告。</w:t>
      </w:r>
    </w:p>
    <w:p w14:paraId="0C979E62">
      <w:pPr>
        <w:spacing w:line="360" w:lineRule="auto"/>
        <w:ind w:firstLine="480" w:firstLineChars="200"/>
        <w:rPr>
          <w:bCs/>
          <w:sz w:val="24"/>
          <w:szCs w:val="24"/>
        </w:rPr>
      </w:pPr>
      <w:r>
        <w:rPr>
          <w:rFonts w:hint="eastAsia"/>
          <w:bCs/>
          <w:sz w:val="24"/>
          <w:szCs w:val="24"/>
        </w:rPr>
        <w:t>五、基金财产的投资方向和投资限制</w:t>
      </w:r>
    </w:p>
    <w:p w14:paraId="2FA3CACD">
      <w:pPr>
        <w:spacing w:line="360" w:lineRule="auto"/>
        <w:ind w:firstLine="480" w:firstLineChars="200"/>
        <w:rPr>
          <w:bCs/>
          <w:sz w:val="24"/>
          <w:szCs w:val="24"/>
        </w:rPr>
      </w:pPr>
      <w:r>
        <w:rPr>
          <w:rFonts w:hint="eastAsia"/>
          <w:bCs/>
          <w:sz w:val="24"/>
          <w:szCs w:val="24"/>
        </w:rPr>
        <w:t>（一）</w:t>
      </w:r>
      <w:r>
        <w:rPr>
          <w:bCs/>
          <w:sz w:val="24"/>
          <w:szCs w:val="24"/>
        </w:rPr>
        <w:t>投资目标</w:t>
      </w:r>
    </w:p>
    <w:p w14:paraId="39A7F2F7">
      <w:pPr>
        <w:spacing w:line="360" w:lineRule="auto"/>
        <w:ind w:firstLine="480" w:firstLineChars="200"/>
        <w:rPr>
          <w:bCs/>
          <w:sz w:val="24"/>
          <w:szCs w:val="24"/>
        </w:rPr>
      </w:pPr>
      <w:r>
        <w:rPr>
          <w:rFonts w:hint="eastAsia"/>
          <w:bCs/>
          <w:sz w:val="24"/>
          <w:szCs w:val="24"/>
        </w:rPr>
        <w:t>本基金主要投资于固定收益类资产，在力争本金稳妥的基础上，适当参与股票投资，积极追求资产的长期稳定增值。</w:t>
      </w:r>
      <w:r>
        <w:rPr>
          <w:bCs/>
          <w:sz w:val="24"/>
          <w:szCs w:val="24"/>
        </w:rPr>
        <w:t xml:space="preserve">                      </w:t>
      </w:r>
    </w:p>
    <w:p w14:paraId="7B20B50F">
      <w:pPr>
        <w:spacing w:line="360" w:lineRule="auto"/>
        <w:ind w:firstLine="480" w:firstLineChars="200"/>
        <w:rPr>
          <w:bCs/>
          <w:sz w:val="24"/>
          <w:szCs w:val="24"/>
        </w:rPr>
      </w:pPr>
      <w:r>
        <w:rPr>
          <w:rFonts w:hint="eastAsia"/>
          <w:bCs/>
          <w:sz w:val="24"/>
          <w:szCs w:val="24"/>
        </w:rPr>
        <w:t>（二）</w:t>
      </w:r>
      <w:r>
        <w:rPr>
          <w:bCs/>
          <w:sz w:val="24"/>
          <w:szCs w:val="24"/>
        </w:rPr>
        <w:t>投资范围</w:t>
      </w:r>
    </w:p>
    <w:p w14:paraId="30CEFDA8">
      <w:pPr>
        <w:spacing w:line="360" w:lineRule="auto"/>
        <w:ind w:firstLine="480" w:firstLineChars="200"/>
        <w:rPr>
          <w:bCs/>
          <w:sz w:val="24"/>
          <w:szCs w:val="24"/>
        </w:rPr>
      </w:pPr>
      <w:r>
        <w:rPr>
          <w:rFonts w:hint="eastAsia"/>
          <w:bCs/>
          <w:sz w:val="24"/>
          <w:szCs w:val="24"/>
        </w:rPr>
        <w:t>本基金投资于依法发行或上市的股票、债券等金融工具及法律法规或中国证监会允许基金投资的其他金融工具。具体包括：股票（包含中小板、创业板</w:t>
      </w:r>
      <w:r>
        <w:rPr>
          <w:rFonts w:hint="eastAsia" w:ascii="宋体" w:hAnsi="宋体" w:cs="宋体"/>
          <w:color w:val="000000"/>
          <w:kern w:val="0"/>
          <w:sz w:val="24"/>
          <w:szCs w:val="24"/>
        </w:rPr>
        <w:t>、</w:t>
      </w:r>
      <w:r>
        <w:rPr>
          <w:rStyle w:val="47"/>
          <w:rFonts w:hint="default"/>
          <w:sz w:val="24"/>
          <w:szCs w:val="24"/>
        </w:rPr>
        <w:t>存托凭证</w:t>
      </w:r>
      <w:r>
        <w:rPr>
          <w:rFonts w:hint="eastAsia"/>
          <w:bCs/>
          <w:sz w:val="24"/>
          <w:szCs w:val="24"/>
        </w:rPr>
        <w:t>及其他依法发行、上市的股票），股指期货、权证，债券（国债、金融债、企业（公司）债、次级债、可转换债券（含分离交易可转债）、央行票据、短期融资券、超短期融资券、中期票据、中小企业私募债、可交换公司债券等）、资产支持证券、债券回购、银行存款等固定收益类资产以及现金，以及法律法规或中国证监会允许基金投资的其他金融工具（但须符合中国证监会的相关规定）。</w:t>
      </w:r>
    </w:p>
    <w:p w14:paraId="0FE5DD97">
      <w:pPr>
        <w:spacing w:line="360" w:lineRule="auto"/>
        <w:ind w:firstLine="480" w:firstLineChars="200"/>
        <w:rPr>
          <w:bCs/>
          <w:sz w:val="24"/>
          <w:szCs w:val="24"/>
        </w:rPr>
      </w:pPr>
      <w:r>
        <w:rPr>
          <w:bCs/>
          <w:sz w:val="24"/>
          <w:szCs w:val="24"/>
        </w:rPr>
        <w:t>如法律法规或监管机构以后允许基金投资其他品种，基金管理人在履行适当程序后，可以将其纳入投资范围。</w:t>
      </w:r>
    </w:p>
    <w:p w14:paraId="0072AF3E">
      <w:pPr>
        <w:spacing w:line="360" w:lineRule="auto"/>
        <w:ind w:firstLine="480" w:firstLineChars="200"/>
        <w:rPr>
          <w:bCs/>
          <w:sz w:val="24"/>
          <w:szCs w:val="24"/>
        </w:rPr>
      </w:pPr>
      <w:r>
        <w:rPr>
          <w:bCs/>
          <w:sz w:val="24"/>
          <w:szCs w:val="24"/>
        </w:rPr>
        <w:t>基金的投资组合比例为：</w:t>
      </w:r>
      <w:r>
        <w:rPr>
          <w:rFonts w:hint="eastAsia"/>
          <w:bCs/>
          <w:sz w:val="24"/>
          <w:szCs w:val="24"/>
        </w:rPr>
        <w:t>股票资产占基金资产的比例为0-40%；</w:t>
      </w:r>
      <w:r>
        <w:rPr>
          <w:rFonts w:hint="eastAsia"/>
          <w:bCs/>
          <w:sz w:val="24"/>
        </w:rPr>
        <w:t>债券资产占基金资产的比例不低于60%；</w:t>
      </w:r>
      <w:r>
        <w:rPr>
          <w:rFonts w:hint="eastAsia"/>
          <w:bCs/>
          <w:sz w:val="24"/>
          <w:szCs w:val="24"/>
        </w:rPr>
        <w:t>其中每个交易日日终在扣除股指期货合约需缴纳的交易保证金后，保持现金或者到期日在一年以内的政府债券的比例合计不低于基金资产净值的5%，</w:t>
      </w:r>
      <w:r>
        <w:rPr>
          <w:rFonts w:hint="eastAsia"/>
          <w:sz w:val="24"/>
          <w:szCs w:val="24"/>
        </w:rPr>
        <w:t>其中现金不包括结算备付金、存出保证金、应收申购款等，</w:t>
      </w:r>
      <w:r>
        <w:rPr>
          <w:rFonts w:hint="eastAsia"/>
          <w:bCs/>
          <w:sz w:val="24"/>
          <w:szCs w:val="24"/>
        </w:rPr>
        <w:t>权证、股指期货及其他金融工具的投资比例依照法律法规或监管机构的规定执行。</w:t>
      </w:r>
    </w:p>
    <w:p w14:paraId="4AB998A4">
      <w:pPr>
        <w:spacing w:line="360" w:lineRule="auto"/>
        <w:ind w:firstLine="480" w:firstLineChars="200"/>
        <w:rPr>
          <w:bCs/>
          <w:sz w:val="24"/>
          <w:szCs w:val="24"/>
        </w:rPr>
      </w:pPr>
      <w:r>
        <w:rPr>
          <w:rFonts w:hint="eastAsia"/>
          <w:bCs/>
          <w:sz w:val="24"/>
          <w:szCs w:val="24"/>
        </w:rPr>
        <w:t>（三）</w:t>
      </w:r>
      <w:r>
        <w:rPr>
          <w:bCs/>
          <w:sz w:val="24"/>
          <w:szCs w:val="24"/>
        </w:rPr>
        <w:t>投资限制</w:t>
      </w:r>
    </w:p>
    <w:p w14:paraId="4D21B17B">
      <w:pPr>
        <w:spacing w:line="360" w:lineRule="auto"/>
        <w:ind w:firstLine="480" w:firstLineChars="200"/>
        <w:rPr>
          <w:bCs/>
          <w:sz w:val="24"/>
          <w:szCs w:val="24"/>
        </w:rPr>
      </w:pPr>
      <w:r>
        <w:rPr>
          <w:bCs/>
          <w:sz w:val="24"/>
          <w:szCs w:val="24"/>
        </w:rPr>
        <w:t>1、组合限制</w:t>
      </w:r>
    </w:p>
    <w:p w14:paraId="20A2A230">
      <w:pPr>
        <w:spacing w:line="360" w:lineRule="auto"/>
        <w:ind w:firstLine="480" w:firstLineChars="200"/>
        <w:rPr>
          <w:bCs/>
          <w:sz w:val="24"/>
          <w:szCs w:val="24"/>
        </w:rPr>
      </w:pPr>
      <w:r>
        <w:rPr>
          <w:bCs/>
          <w:sz w:val="24"/>
          <w:szCs w:val="24"/>
        </w:rPr>
        <w:t>基金的投资组合应遵循以下限制：</w:t>
      </w:r>
    </w:p>
    <w:p w14:paraId="1A34D180">
      <w:pPr>
        <w:spacing w:line="360" w:lineRule="auto"/>
        <w:ind w:firstLine="480" w:firstLineChars="200"/>
        <w:rPr>
          <w:bCs/>
          <w:sz w:val="24"/>
          <w:szCs w:val="24"/>
        </w:rPr>
      </w:pPr>
      <w:r>
        <w:rPr>
          <w:bCs/>
          <w:sz w:val="24"/>
          <w:szCs w:val="24"/>
        </w:rPr>
        <w:t>（1）</w:t>
      </w:r>
      <w:r>
        <w:rPr>
          <w:rFonts w:hint="eastAsia"/>
          <w:bCs/>
          <w:sz w:val="24"/>
          <w:szCs w:val="24"/>
        </w:rPr>
        <w:t>本基金的投资组合比例为：股票投资比例为基金资产的0—40%，</w:t>
      </w:r>
      <w:r>
        <w:rPr>
          <w:rFonts w:hint="eastAsia"/>
          <w:bCs/>
          <w:sz w:val="24"/>
        </w:rPr>
        <w:t>债券资产占基金资产的比例不低于60%</w:t>
      </w:r>
      <w:r>
        <w:rPr>
          <w:rFonts w:hint="eastAsia"/>
          <w:bCs/>
          <w:sz w:val="24"/>
          <w:szCs w:val="24"/>
        </w:rPr>
        <w:t>。</w:t>
      </w:r>
    </w:p>
    <w:p w14:paraId="7755C89B">
      <w:pPr>
        <w:spacing w:line="360" w:lineRule="auto"/>
        <w:ind w:firstLine="480" w:firstLineChars="200"/>
        <w:rPr>
          <w:bCs/>
          <w:sz w:val="24"/>
          <w:szCs w:val="24"/>
        </w:rPr>
      </w:pPr>
      <w:r>
        <w:rPr>
          <w:bCs/>
          <w:sz w:val="24"/>
          <w:szCs w:val="24"/>
        </w:rPr>
        <w:t>（</w:t>
      </w:r>
      <w:r>
        <w:rPr>
          <w:rFonts w:hint="eastAsia"/>
          <w:bCs/>
          <w:sz w:val="24"/>
          <w:szCs w:val="24"/>
        </w:rPr>
        <w:t>2</w:t>
      </w:r>
      <w:r>
        <w:rPr>
          <w:bCs/>
          <w:sz w:val="24"/>
          <w:szCs w:val="24"/>
        </w:rPr>
        <w:t>）</w:t>
      </w:r>
      <w:r>
        <w:rPr>
          <w:rFonts w:hint="eastAsia"/>
          <w:bCs/>
          <w:sz w:val="24"/>
          <w:szCs w:val="24"/>
        </w:rPr>
        <w:t>每个交易日日终在扣除股指期货合约需缴纳的交易保证金后，</w:t>
      </w:r>
      <w:r>
        <w:rPr>
          <w:bCs/>
          <w:sz w:val="24"/>
          <w:szCs w:val="24"/>
        </w:rPr>
        <w:t>保持不低于基金资产净值5％的现金或者到期日在一年以内的政府债券</w:t>
      </w:r>
      <w:r>
        <w:rPr>
          <w:rFonts w:hint="eastAsia"/>
          <w:sz w:val="24"/>
          <w:szCs w:val="24"/>
        </w:rPr>
        <w:t>，</w:t>
      </w:r>
      <w:r>
        <w:rPr>
          <w:rFonts w:hint="eastAsia"/>
          <w:bCs/>
          <w:sz w:val="24"/>
        </w:rPr>
        <w:t>其中现金不包括结算备付金、存出保证金、应收申购款等</w:t>
      </w:r>
      <w:r>
        <w:rPr>
          <w:bCs/>
          <w:sz w:val="24"/>
          <w:szCs w:val="24"/>
        </w:rPr>
        <w:t>；</w:t>
      </w:r>
    </w:p>
    <w:p w14:paraId="30FDC97C">
      <w:pPr>
        <w:spacing w:line="360" w:lineRule="auto"/>
        <w:ind w:firstLine="480" w:firstLineChars="200"/>
        <w:rPr>
          <w:bCs/>
          <w:sz w:val="24"/>
          <w:szCs w:val="24"/>
        </w:rPr>
      </w:pPr>
      <w:r>
        <w:rPr>
          <w:bCs/>
          <w:sz w:val="24"/>
          <w:szCs w:val="24"/>
        </w:rPr>
        <w:t>（</w:t>
      </w:r>
      <w:r>
        <w:rPr>
          <w:rFonts w:hint="eastAsia"/>
          <w:bCs/>
          <w:sz w:val="24"/>
          <w:szCs w:val="24"/>
        </w:rPr>
        <w:t>3</w:t>
      </w:r>
      <w:r>
        <w:rPr>
          <w:bCs/>
          <w:sz w:val="24"/>
          <w:szCs w:val="24"/>
        </w:rPr>
        <w:t>）本基金持有一家公司</w:t>
      </w:r>
      <w:r>
        <w:rPr>
          <w:rFonts w:hint="eastAsia"/>
          <w:bCs/>
          <w:sz w:val="24"/>
          <w:szCs w:val="24"/>
        </w:rPr>
        <w:t>发行的证券</w:t>
      </w:r>
      <w:r>
        <w:rPr>
          <w:bCs/>
          <w:sz w:val="24"/>
          <w:szCs w:val="24"/>
        </w:rPr>
        <w:t>，其市值不超过基金资产净值的10％；</w:t>
      </w:r>
    </w:p>
    <w:p w14:paraId="13277889">
      <w:pPr>
        <w:spacing w:line="360" w:lineRule="auto"/>
        <w:ind w:firstLine="480" w:firstLineChars="200"/>
        <w:rPr>
          <w:bCs/>
          <w:sz w:val="24"/>
          <w:szCs w:val="24"/>
        </w:rPr>
      </w:pPr>
      <w:r>
        <w:rPr>
          <w:bCs/>
          <w:sz w:val="24"/>
          <w:szCs w:val="24"/>
        </w:rPr>
        <w:t>（</w:t>
      </w:r>
      <w:r>
        <w:rPr>
          <w:rFonts w:hint="eastAsia"/>
          <w:bCs/>
          <w:sz w:val="24"/>
          <w:szCs w:val="24"/>
        </w:rPr>
        <w:t>4</w:t>
      </w:r>
      <w:r>
        <w:rPr>
          <w:bCs/>
          <w:sz w:val="24"/>
          <w:szCs w:val="24"/>
        </w:rPr>
        <w:t>）本基金管理人管理的全部基金持有一家公司发行的证券，不超过该证券的10％；</w:t>
      </w:r>
    </w:p>
    <w:p w14:paraId="6C47D51E">
      <w:pPr>
        <w:spacing w:line="360" w:lineRule="auto"/>
        <w:ind w:firstLine="480" w:firstLineChars="200"/>
        <w:rPr>
          <w:bCs/>
          <w:sz w:val="24"/>
          <w:szCs w:val="24"/>
        </w:rPr>
      </w:pPr>
      <w:r>
        <w:rPr>
          <w:bCs/>
          <w:sz w:val="24"/>
          <w:szCs w:val="24"/>
        </w:rPr>
        <w:t>（</w:t>
      </w:r>
      <w:r>
        <w:rPr>
          <w:rFonts w:hint="eastAsia"/>
          <w:bCs/>
          <w:sz w:val="24"/>
          <w:szCs w:val="24"/>
        </w:rPr>
        <w:t>5</w:t>
      </w:r>
      <w:r>
        <w:rPr>
          <w:bCs/>
          <w:sz w:val="24"/>
          <w:szCs w:val="24"/>
        </w:rPr>
        <w:t>）本基金持有的全部权证，其市值不得超过基金资产净值的3％；</w:t>
      </w:r>
    </w:p>
    <w:p w14:paraId="1AC7C654">
      <w:pPr>
        <w:spacing w:line="360" w:lineRule="auto"/>
        <w:ind w:firstLine="480" w:firstLineChars="200"/>
        <w:rPr>
          <w:bCs/>
          <w:sz w:val="24"/>
          <w:szCs w:val="24"/>
        </w:rPr>
      </w:pPr>
      <w:r>
        <w:rPr>
          <w:bCs/>
          <w:sz w:val="24"/>
          <w:szCs w:val="24"/>
        </w:rPr>
        <w:t>（</w:t>
      </w:r>
      <w:r>
        <w:rPr>
          <w:rFonts w:hint="eastAsia"/>
          <w:bCs/>
          <w:sz w:val="24"/>
          <w:szCs w:val="24"/>
        </w:rPr>
        <w:t>6</w:t>
      </w:r>
      <w:r>
        <w:rPr>
          <w:bCs/>
          <w:sz w:val="24"/>
          <w:szCs w:val="24"/>
        </w:rPr>
        <w:t>）本基金管理人管理的全部基金持有的同一权证，不得超过该权证的</w:t>
      </w:r>
      <w:r>
        <w:rPr>
          <w:rFonts w:hint="eastAsia"/>
          <w:bCs/>
          <w:sz w:val="24"/>
          <w:szCs w:val="24"/>
        </w:rPr>
        <w:t xml:space="preserve">   </w:t>
      </w:r>
      <w:r>
        <w:rPr>
          <w:bCs/>
          <w:sz w:val="24"/>
          <w:szCs w:val="24"/>
        </w:rPr>
        <w:t>10％；</w:t>
      </w:r>
    </w:p>
    <w:p w14:paraId="7D1043AD">
      <w:pPr>
        <w:spacing w:line="360" w:lineRule="auto"/>
        <w:ind w:firstLine="480" w:firstLineChars="200"/>
        <w:rPr>
          <w:bCs/>
          <w:sz w:val="24"/>
          <w:szCs w:val="24"/>
        </w:rPr>
      </w:pPr>
      <w:r>
        <w:rPr>
          <w:bCs/>
          <w:sz w:val="24"/>
          <w:szCs w:val="24"/>
        </w:rPr>
        <w:t>（</w:t>
      </w:r>
      <w:r>
        <w:rPr>
          <w:rFonts w:hint="eastAsia"/>
          <w:bCs/>
          <w:sz w:val="24"/>
          <w:szCs w:val="24"/>
        </w:rPr>
        <w:t>7</w:t>
      </w:r>
      <w:r>
        <w:rPr>
          <w:bCs/>
          <w:sz w:val="24"/>
          <w:szCs w:val="24"/>
        </w:rPr>
        <w:t>）本基金在任何交易日买入权证的总金额，不得超过上一交易日基金资产净值的0.5％；</w:t>
      </w:r>
    </w:p>
    <w:p w14:paraId="740148C5">
      <w:pPr>
        <w:spacing w:line="360" w:lineRule="auto"/>
        <w:ind w:firstLine="480" w:firstLineChars="200"/>
        <w:rPr>
          <w:bCs/>
          <w:sz w:val="24"/>
          <w:szCs w:val="24"/>
        </w:rPr>
      </w:pPr>
      <w:r>
        <w:rPr>
          <w:bCs/>
          <w:sz w:val="24"/>
          <w:szCs w:val="24"/>
        </w:rPr>
        <w:t>（</w:t>
      </w:r>
      <w:r>
        <w:rPr>
          <w:rFonts w:hint="eastAsia"/>
          <w:bCs/>
          <w:sz w:val="24"/>
          <w:szCs w:val="24"/>
        </w:rPr>
        <w:t>8</w:t>
      </w:r>
      <w:r>
        <w:rPr>
          <w:bCs/>
          <w:sz w:val="24"/>
          <w:szCs w:val="24"/>
        </w:rPr>
        <w:t>）本基金投资于同一原始权益人的各类资产支持证券的比例，不得超过基金资产净值的10％；</w:t>
      </w:r>
    </w:p>
    <w:p w14:paraId="70519065">
      <w:pPr>
        <w:spacing w:line="360" w:lineRule="auto"/>
        <w:ind w:firstLine="480" w:firstLineChars="200"/>
        <w:rPr>
          <w:bCs/>
          <w:sz w:val="24"/>
          <w:szCs w:val="24"/>
        </w:rPr>
      </w:pPr>
      <w:r>
        <w:rPr>
          <w:bCs/>
          <w:sz w:val="24"/>
          <w:szCs w:val="24"/>
        </w:rPr>
        <w:t>（</w:t>
      </w:r>
      <w:r>
        <w:rPr>
          <w:rFonts w:hint="eastAsia"/>
          <w:bCs/>
          <w:sz w:val="24"/>
          <w:szCs w:val="24"/>
        </w:rPr>
        <w:t>9</w:t>
      </w:r>
      <w:r>
        <w:rPr>
          <w:bCs/>
          <w:sz w:val="24"/>
          <w:szCs w:val="24"/>
        </w:rPr>
        <w:t>）本基金持有的全部资产支持证券，其市值不得超过基金资产净值的20％；</w:t>
      </w:r>
    </w:p>
    <w:p w14:paraId="041D6303">
      <w:pPr>
        <w:spacing w:line="360" w:lineRule="auto"/>
        <w:ind w:firstLine="480" w:firstLineChars="200"/>
        <w:rPr>
          <w:bCs/>
          <w:sz w:val="24"/>
          <w:szCs w:val="24"/>
        </w:rPr>
      </w:pPr>
      <w:r>
        <w:rPr>
          <w:bCs/>
          <w:sz w:val="24"/>
          <w:szCs w:val="24"/>
        </w:rPr>
        <w:t>（1</w:t>
      </w:r>
      <w:r>
        <w:rPr>
          <w:rFonts w:hint="eastAsia"/>
          <w:bCs/>
          <w:sz w:val="24"/>
          <w:szCs w:val="24"/>
        </w:rPr>
        <w:t>0</w:t>
      </w:r>
      <w:r>
        <w:rPr>
          <w:bCs/>
          <w:sz w:val="24"/>
          <w:szCs w:val="24"/>
        </w:rPr>
        <w:t>）本基金持有的同一(指同一信用级别)资产支持证券的比例，不得超过该资产支持证券规模的10％；</w:t>
      </w:r>
    </w:p>
    <w:p w14:paraId="766C285A">
      <w:pPr>
        <w:spacing w:line="360" w:lineRule="auto"/>
        <w:ind w:firstLine="480" w:firstLineChars="200"/>
        <w:rPr>
          <w:bCs/>
          <w:sz w:val="24"/>
          <w:szCs w:val="24"/>
        </w:rPr>
      </w:pPr>
      <w:r>
        <w:rPr>
          <w:bCs/>
          <w:sz w:val="24"/>
          <w:szCs w:val="24"/>
        </w:rPr>
        <w:t>（1</w:t>
      </w:r>
      <w:r>
        <w:rPr>
          <w:rFonts w:hint="eastAsia"/>
          <w:bCs/>
          <w:sz w:val="24"/>
          <w:szCs w:val="24"/>
        </w:rPr>
        <w:t>1</w:t>
      </w:r>
      <w:r>
        <w:rPr>
          <w:bCs/>
          <w:sz w:val="24"/>
          <w:szCs w:val="24"/>
        </w:rPr>
        <w:t>）本基金管理人管理的全部基金投资于同一原始权益人的各类资产支持证券，不得超过其各类资产支持证券合计规模的10％；</w:t>
      </w:r>
    </w:p>
    <w:p w14:paraId="2E5502BA">
      <w:pPr>
        <w:spacing w:line="360" w:lineRule="auto"/>
        <w:ind w:firstLine="480" w:firstLineChars="200"/>
        <w:rPr>
          <w:bCs/>
          <w:sz w:val="24"/>
          <w:szCs w:val="24"/>
        </w:rPr>
      </w:pPr>
      <w:r>
        <w:rPr>
          <w:bCs/>
          <w:sz w:val="24"/>
          <w:szCs w:val="24"/>
        </w:rPr>
        <w:t>（1</w:t>
      </w:r>
      <w:r>
        <w:rPr>
          <w:rFonts w:hint="eastAsia"/>
          <w:bCs/>
          <w:sz w:val="24"/>
          <w:szCs w:val="24"/>
        </w:rPr>
        <w:t>2</w:t>
      </w:r>
      <w:r>
        <w:rPr>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0E566121">
      <w:pPr>
        <w:spacing w:line="360" w:lineRule="auto"/>
        <w:ind w:firstLine="480" w:firstLineChars="200"/>
        <w:rPr>
          <w:bCs/>
          <w:sz w:val="24"/>
          <w:szCs w:val="24"/>
        </w:rPr>
      </w:pPr>
      <w:r>
        <w:rPr>
          <w:bCs/>
          <w:sz w:val="24"/>
          <w:szCs w:val="24"/>
        </w:rPr>
        <w:t>（1</w:t>
      </w:r>
      <w:r>
        <w:rPr>
          <w:rFonts w:hint="eastAsia"/>
          <w:bCs/>
          <w:sz w:val="24"/>
          <w:szCs w:val="24"/>
        </w:rPr>
        <w:t>3</w:t>
      </w:r>
      <w:r>
        <w:rPr>
          <w:bCs/>
          <w:sz w:val="24"/>
          <w:szCs w:val="24"/>
        </w:rPr>
        <w:t>）基金财产参与股票发行申购，本基金所申报的金额不超过本基金的总资产，本基金所申报的股票数量不超过拟发行股票公司本次发行股票的总量；</w:t>
      </w:r>
    </w:p>
    <w:p w14:paraId="22D8F460">
      <w:pPr>
        <w:spacing w:line="360" w:lineRule="auto"/>
        <w:ind w:firstLine="480" w:firstLineChars="200"/>
        <w:rPr>
          <w:bCs/>
          <w:sz w:val="24"/>
          <w:szCs w:val="24"/>
        </w:rPr>
      </w:pPr>
      <w:r>
        <w:rPr>
          <w:bCs/>
          <w:sz w:val="24"/>
          <w:szCs w:val="24"/>
        </w:rPr>
        <w:t>（1</w:t>
      </w:r>
      <w:r>
        <w:rPr>
          <w:rFonts w:hint="eastAsia"/>
          <w:bCs/>
          <w:sz w:val="24"/>
          <w:szCs w:val="24"/>
        </w:rPr>
        <w:t>4</w:t>
      </w:r>
      <w:r>
        <w:rPr>
          <w:bCs/>
          <w:sz w:val="24"/>
          <w:szCs w:val="24"/>
        </w:rPr>
        <w:t>）本基金进入全国银行间同业市场进行债券回购的资金余额不得超过基金资产净值的40%；</w:t>
      </w:r>
      <w:r>
        <w:rPr>
          <w:rFonts w:hint="eastAsia"/>
          <w:bCs/>
          <w:sz w:val="24"/>
          <w:szCs w:val="24"/>
        </w:rPr>
        <w:t>在全国银行间同业市场中的债券回购最长期限为1年，债券回购到期后不展期；</w:t>
      </w:r>
    </w:p>
    <w:p w14:paraId="7823C1FE">
      <w:pPr>
        <w:spacing w:line="360" w:lineRule="auto"/>
        <w:ind w:firstLine="480" w:firstLineChars="200"/>
        <w:rPr>
          <w:bCs/>
          <w:sz w:val="24"/>
          <w:szCs w:val="24"/>
        </w:rPr>
      </w:pPr>
      <w:r>
        <w:rPr>
          <w:bCs/>
          <w:sz w:val="24"/>
          <w:szCs w:val="24"/>
        </w:rPr>
        <w:t>（1</w:t>
      </w:r>
      <w:r>
        <w:rPr>
          <w:rFonts w:hint="eastAsia"/>
          <w:bCs/>
          <w:sz w:val="24"/>
          <w:szCs w:val="24"/>
        </w:rPr>
        <w:t>5</w:t>
      </w:r>
      <w:r>
        <w:rPr>
          <w:bCs/>
          <w:sz w:val="24"/>
          <w:szCs w:val="24"/>
        </w:rPr>
        <w:t>）</w:t>
      </w:r>
      <w:r>
        <w:rPr>
          <w:rFonts w:hint="eastAsia"/>
          <w:bCs/>
          <w:sz w:val="24"/>
          <w:szCs w:val="24"/>
        </w:rPr>
        <w:t>本基金投资股指期货，遵循以下中国证监会规定的投资限制：</w:t>
      </w:r>
    </w:p>
    <w:p w14:paraId="0ED6132E">
      <w:pPr>
        <w:spacing w:line="360" w:lineRule="auto"/>
        <w:ind w:firstLine="480" w:firstLineChars="200"/>
        <w:rPr>
          <w:bCs/>
          <w:sz w:val="24"/>
          <w:szCs w:val="24"/>
        </w:rPr>
      </w:pPr>
      <w:r>
        <w:rPr>
          <w:rFonts w:hint="eastAsia"/>
          <w:bCs/>
          <w:sz w:val="24"/>
          <w:szCs w:val="24"/>
        </w:rPr>
        <w:t>1）本基金在任何交易日日终，持有的买入股指期货合约价值不得超过基金资产净值的10%；</w:t>
      </w:r>
    </w:p>
    <w:p w14:paraId="45AA8063">
      <w:pPr>
        <w:spacing w:line="360" w:lineRule="auto"/>
        <w:ind w:firstLine="480" w:firstLineChars="200"/>
        <w:rPr>
          <w:bCs/>
          <w:sz w:val="24"/>
          <w:szCs w:val="24"/>
        </w:rPr>
      </w:pPr>
      <w:r>
        <w:rPr>
          <w:rFonts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90C240A">
      <w:pPr>
        <w:spacing w:line="360" w:lineRule="auto"/>
        <w:ind w:firstLine="480" w:firstLineChars="200"/>
        <w:rPr>
          <w:bCs/>
          <w:sz w:val="24"/>
          <w:szCs w:val="24"/>
        </w:rPr>
      </w:pPr>
      <w:r>
        <w:rPr>
          <w:rFonts w:hint="eastAsia"/>
          <w:bCs/>
          <w:sz w:val="24"/>
          <w:szCs w:val="24"/>
        </w:rPr>
        <w:t>3）本基金在任何交易日日终，持有的卖出期货合约价值不得超过基金持有的股票总市值的20%；</w:t>
      </w:r>
    </w:p>
    <w:p w14:paraId="21CF77D0">
      <w:pPr>
        <w:spacing w:line="360" w:lineRule="auto"/>
        <w:ind w:firstLine="480" w:firstLineChars="200"/>
        <w:rPr>
          <w:bCs/>
          <w:sz w:val="24"/>
          <w:szCs w:val="24"/>
        </w:rPr>
      </w:pPr>
      <w:r>
        <w:rPr>
          <w:rFonts w:hint="eastAsia"/>
          <w:bCs/>
          <w:sz w:val="24"/>
          <w:szCs w:val="24"/>
        </w:rPr>
        <w:t>4）本基金所持有的股票市值和买入、卖出股指期货合约价值，合计（轧差计算）占基金资产的比例为0～40%；</w:t>
      </w:r>
    </w:p>
    <w:p w14:paraId="2F343AC9">
      <w:pPr>
        <w:spacing w:line="360" w:lineRule="auto"/>
        <w:ind w:firstLine="480" w:firstLineChars="200"/>
        <w:rPr>
          <w:bCs/>
          <w:sz w:val="24"/>
          <w:szCs w:val="24"/>
        </w:rPr>
      </w:pPr>
      <w:r>
        <w:rPr>
          <w:rFonts w:hint="eastAsia"/>
          <w:bCs/>
          <w:sz w:val="24"/>
          <w:szCs w:val="24"/>
        </w:rPr>
        <w:t>5）本基金在任何交易日内交易（不包括平仓）的股指期货合约的成交金额不得超过上一交易日股票资产的20%；</w:t>
      </w:r>
    </w:p>
    <w:p w14:paraId="01BFEACB">
      <w:pPr>
        <w:spacing w:line="360" w:lineRule="auto"/>
        <w:ind w:firstLine="480" w:firstLineChars="200"/>
        <w:rPr>
          <w:bCs/>
          <w:sz w:val="24"/>
          <w:szCs w:val="24"/>
        </w:rPr>
      </w:pPr>
      <w:r>
        <w:rPr>
          <w:rFonts w:hint="eastAsia"/>
          <w:bCs/>
          <w:sz w:val="24"/>
          <w:szCs w:val="24"/>
        </w:rPr>
        <w:t>（16）本基金持有单只中小企业私募债券，其市值不得超过本基金资产净值的10%；</w:t>
      </w:r>
    </w:p>
    <w:p w14:paraId="3A9F22F2">
      <w:pPr>
        <w:spacing w:line="360" w:lineRule="auto"/>
        <w:ind w:firstLine="480" w:firstLineChars="200"/>
        <w:rPr>
          <w:bCs/>
          <w:sz w:val="24"/>
        </w:rPr>
      </w:pPr>
      <w:r>
        <w:rPr>
          <w:rFonts w:hint="eastAsia"/>
          <w:bCs/>
          <w:sz w:val="24"/>
          <w:szCs w:val="24"/>
        </w:rPr>
        <w:t>（17）</w:t>
      </w:r>
      <w:r>
        <w:rPr>
          <w:rFonts w:hint="eastAsia"/>
          <w:sz w:val="24"/>
        </w:rPr>
        <w:t xml:space="preserve">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 </w:t>
      </w:r>
    </w:p>
    <w:p w14:paraId="060C7669">
      <w:pPr>
        <w:spacing w:line="360" w:lineRule="auto"/>
        <w:ind w:firstLine="480" w:firstLineChars="200"/>
        <w:rPr>
          <w:bCs/>
          <w:sz w:val="24"/>
        </w:rPr>
      </w:pPr>
      <w:r>
        <w:rPr>
          <w:rFonts w:hint="eastAsia"/>
          <w:bCs/>
          <w:sz w:val="24"/>
        </w:rPr>
        <w:t>（18）本基金主动投资于流动性受限资产的市值合计不得超过基金资产净值的15%，因证券市场波动、上市公司股票停牌、基金规模变动等基金管理人之外的因素致使基金不符合前述比例限制的，基金管理人不得主动新增流动性受限资产的投资；</w:t>
      </w:r>
    </w:p>
    <w:p w14:paraId="2727521E">
      <w:pPr>
        <w:spacing w:line="360" w:lineRule="auto"/>
        <w:ind w:firstLine="480" w:firstLineChars="200"/>
        <w:rPr>
          <w:bCs/>
          <w:sz w:val="24"/>
          <w:szCs w:val="24"/>
        </w:rPr>
      </w:pPr>
      <w:r>
        <w:rPr>
          <w:rFonts w:hint="eastAsia"/>
          <w:bCs/>
          <w:sz w:val="24"/>
        </w:rPr>
        <w:t>（19）</w:t>
      </w:r>
      <w:r>
        <w:rPr>
          <w:rFonts w:hint="eastAsia"/>
          <w:bCs/>
          <w:sz w:val="24"/>
          <w:szCs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14:paraId="2A8616AD">
      <w:pPr>
        <w:spacing w:line="360" w:lineRule="auto"/>
        <w:ind w:firstLine="480" w:firstLineChars="200"/>
        <w:rPr>
          <w:bCs/>
          <w:sz w:val="24"/>
          <w:szCs w:val="24"/>
        </w:rPr>
      </w:pPr>
      <w:r>
        <w:rPr>
          <w:rFonts w:hint="eastAsia"/>
          <w:bCs/>
          <w:sz w:val="24"/>
          <w:szCs w:val="24"/>
        </w:rPr>
        <w:t>（20）基金总资产不得超过基金净资产的140%；</w:t>
      </w:r>
    </w:p>
    <w:p w14:paraId="7520B327">
      <w:pPr>
        <w:spacing w:line="360" w:lineRule="auto"/>
        <w:ind w:firstLine="480" w:firstLineChars="200"/>
        <w:rPr>
          <w:bCs/>
          <w:sz w:val="24"/>
          <w:szCs w:val="24"/>
        </w:rPr>
      </w:pPr>
      <w:r>
        <w:rPr>
          <w:rFonts w:hint="eastAsia"/>
          <w:bCs/>
          <w:sz w:val="24"/>
          <w:szCs w:val="24"/>
        </w:rPr>
        <w:t>（21）本基金与私募类证券资管产品及中国证监会认定的其他主体为交易对手开展逆回购交易的，可接受质押品的资质要求应当与本基金合同约定的投资范围保持一致；</w:t>
      </w:r>
    </w:p>
    <w:p w14:paraId="0285C3E0">
      <w:pPr>
        <w:spacing w:line="360" w:lineRule="auto"/>
        <w:ind w:firstLine="480" w:firstLineChars="200"/>
        <w:rPr>
          <w:bCs/>
          <w:sz w:val="24"/>
        </w:rPr>
      </w:pPr>
      <w:r>
        <w:rPr>
          <w:rFonts w:hint="eastAsia"/>
          <w:bCs/>
          <w:sz w:val="24"/>
          <w:szCs w:val="24"/>
        </w:rPr>
        <w:t>（22）</w:t>
      </w:r>
      <w:r>
        <w:rPr>
          <w:rFonts w:hint="eastAsia"/>
          <w:bCs/>
          <w:sz w:val="24"/>
        </w:rPr>
        <w:t>本基金投资存托凭证的比例限制依照境内上市交易的股票执行，与境内上市交易的股票合并计算；</w:t>
      </w:r>
    </w:p>
    <w:p w14:paraId="60B820A5">
      <w:pPr>
        <w:spacing w:line="360" w:lineRule="auto"/>
        <w:ind w:firstLine="480" w:firstLineChars="200"/>
        <w:rPr>
          <w:bCs/>
          <w:sz w:val="24"/>
          <w:szCs w:val="24"/>
        </w:rPr>
      </w:pPr>
      <w:r>
        <w:rPr>
          <w:rFonts w:hint="eastAsia"/>
          <w:bCs/>
          <w:sz w:val="24"/>
          <w:szCs w:val="24"/>
        </w:rPr>
        <w:t>（23）法律法规及中国证监会规定的和《基金合同》约定的其他投资限制。</w:t>
      </w:r>
    </w:p>
    <w:p w14:paraId="12C94399">
      <w:pPr>
        <w:spacing w:line="360" w:lineRule="auto"/>
        <w:ind w:firstLine="480" w:firstLineChars="200"/>
        <w:rPr>
          <w:bCs/>
          <w:sz w:val="24"/>
          <w:szCs w:val="24"/>
        </w:rPr>
      </w:pPr>
      <w:r>
        <w:rPr>
          <w:rFonts w:hint="eastAsia"/>
          <w:sz w:val="24"/>
          <w:szCs w:val="24"/>
        </w:rPr>
        <w:t>除上述第（2）、（12）、（18）、（21）项外，</w:t>
      </w:r>
      <w:r>
        <w:rPr>
          <w:bCs/>
          <w:sz w:val="24"/>
          <w:szCs w:val="24"/>
        </w:rPr>
        <w:t>因证券、期货市场波动、上市公司合并、基金规模变动、股权分置改革中支付对价等基金管理人之外的因素致使基金投资比例不符合上述规定投资比例的，基金管理人应当在10个交易日内进行调整。</w:t>
      </w:r>
      <w:r>
        <w:rPr>
          <w:rFonts w:hint="eastAsia"/>
          <w:bCs/>
          <w:sz w:val="24"/>
          <w:szCs w:val="24"/>
        </w:rPr>
        <w:t>法律法规或监管部门另有规定时，从其规定。</w:t>
      </w:r>
    </w:p>
    <w:p w14:paraId="4E32ED0B">
      <w:pPr>
        <w:spacing w:line="360" w:lineRule="auto"/>
        <w:ind w:firstLine="480" w:firstLineChars="200"/>
        <w:rPr>
          <w:bCs/>
          <w:sz w:val="24"/>
          <w:szCs w:val="24"/>
        </w:rPr>
      </w:pPr>
      <w:r>
        <w:rPr>
          <w:bCs/>
          <w:sz w:val="24"/>
          <w:szCs w:val="24"/>
        </w:rPr>
        <w:t>基金管理人应当自基金合同生效之日起</w:t>
      </w:r>
      <w:r>
        <w:rPr>
          <w:rFonts w:hint="eastAsia"/>
          <w:bCs/>
          <w:sz w:val="24"/>
          <w:szCs w:val="24"/>
        </w:rPr>
        <w:t>六</w:t>
      </w:r>
      <w:r>
        <w:rPr>
          <w:bCs/>
          <w:sz w:val="24"/>
          <w:szCs w:val="24"/>
        </w:rPr>
        <w:t>个月内使基金的投资组合比例符合基金合同的有关约定。</w:t>
      </w:r>
      <w:r>
        <w:rPr>
          <w:rFonts w:hint="eastAsia"/>
          <w:bCs/>
          <w:sz w:val="24"/>
          <w:szCs w:val="24"/>
        </w:rPr>
        <w:t>期间，本基金的投资范围、投资策略应当符合本基金合同的约定。</w:t>
      </w:r>
      <w:r>
        <w:rPr>
          <w:bCs/>
          <w:sz w:val="24"/>
          <w:szCs w:val="24"/>
        </w:rPr>
        <w:t>基金托管人对基金的投资的监督与检查自本基金合同生效之日起开始。</w:t>
      </w:r>
    </w:p>
    <w:p w14:paraId="12BC9C23">
      <w:pPr>
        <w:spacing w:line="360" w:lineRule="auto"/>
        <w:ind w:firstLine="480" w:firstLineChars="200"/>
        <w:rPr>
          <w:bCs/>
          <w:sz w:val="24"/>
          <w:szCs w:val="24"/>
        </w:rPr>
      </w:pPr>
      <w:r>
        <w:rPr>
          <w:rFonts w:hint="eastAsia"/>
          <w:bCs/>
          <w:sz w:val="24"/>
          <w:szCs w:val="24"/>
        </w:rPr>
        <w:t>如果法律法规对本基金合同约定投资组合比例限制进行变更的，以变更后的规定为准。</w:t>
      </w:r>
      <w:r>
        <w:rPr>
          <w:bCs/>
          <w:sz w:val="24"/>
          <w:szCs w:val="24"/>
        </w:rPr>
        <w:t>法律法规或监管部门取消上述限制，如适用于本基金，则本基金投资不再受相关限制</w:t>
      </w:r>
      <w:r>
        <w:rPr>
          <w:rFonts w:hint="eastAsia"/>
          <w:bCs/>
          <w:sz w:val="24"/>
          <w:szCs w:val="24"/>
        </w:rPr>
        <w:t>，但须提前公告，不需要经基金份额持有人大会审议</w:t>
      </w:r>
      <w:r>
        <w:rPr>
          <w:bCs/>
          <w:sz w:val="24"/>
          <w:szCs w:val="24"/>
        </w:rPr>
        <w:t>。</w:t>
      </w:r>
    </w:p>
    <w:p w14:paraId="68BE95B9">
      <w:pPr>
        <w:spacing w:line="360" w:lineRule="auto"/>
        <w:ind w:firstLine="480" w:firstLineChars="200"/>
        <w:rPr>
          <w:bCs/>
          <w:sz w:val="24"/>
          <w:szCs w:val="24"/>
        </w:rPr>
      </w:pPr>
      <w:r>
        <w:rPr>
          <w:bCs/>
          <w:sz w:val="24"/>
          <w:szCs w:val="24"/>
        </w:rPr>
        <w:t>2</w:t>
      </w:r>
      <w:r>
        <w:rPr>
          <w:rFonts w:hint="eastAsia"/>
          <w:bCs/>
          <w:sz w:val="24"/>
          <w:szCs w:val="24"/>
        </w:rPr>
        <w:t>、</w:t>
      </w:r>
      <w:r>
        <w:rPr>
          <w:bCs/>
          <w:sz w:val="24"/>
          <w:szCs w:val="24"/>
        </w:rPr>
        <w:t>禁止行为</w:t>
      </w:r>
    </w:p>
    <w:p w14:paraId="7282BE15">
      <w:pPr>
        <w:spacing w:line="360" w:lineRule="auto"/>
        <w:ind w:firstLine="480" w:firstLineChars="200"/>
        <w:rPr>
          <w:bCs/>
          <w:sz w:val="24"/>
          <w:szCs w:val="24"/>
        </w:rPr>
      </w:pPr>
      <w:r>
        <w:rPr>
          <w:bCs/>
          <w:sz w:val="24"/>
          <w:szCs w:val="24"/>
        </w:rPr>
        <w:t>为维护基金份额持有人的合法权益，基金财产不得用于下列投资或者活动：</w:t>
      </w:r>
    </w:p>
    <w:p w14:paraId="1CC330B4">
      <w:pPr>
        <w:spacing w:line="360" w:lineRule="auto"/>
        <w:ind w:firstLine="480" w:firstLineChars="200"/>
        <w:rPr>
          <w:bCs/>
          <w:sz w:val="24"/>
          <w:szCs w:val="24"/>
        </w:rPr>
      </w:pPr>
      <w:r>
        <w:rPr>
          <w:bCs/>
          <w:sz w:val="24"/>
          <w:szCs w:val="24"/>
        </w:rPr>
        <w:t>（1）承销证券；</w:t>
      </w:r>
    </w:p>
    <w:p w14:paraId="073033A6">
      <w:pPr>
        <w:spacing w:line="360" w:lineRule="auto"/>
        <w:ind w:firstLine="480" w:firstLineChars="200"/>
        <w:rPr>
          <w:bCs/>
          <w:sz w:val="24"/>
          <w:szCs w:val="24"/>
        </w:rPr>
      </w:pPr>
      <w:r>
        <w:rPr>
          <w:bCs/>
          <w:sz w:val="24"/>
          <w:szCs w:val="24"/>
        </w:rPr>
        <w:t>（</w:t>
      </w:r>
      <w:r>
        <w:rPr>
          <w:rFonts w:hint="eastAsia"/>
          <w:bCs/>
          <w:sz w:val="24"/>
          <w:szCs w:val="24"/>
        </w:rPr>
        <w:t>2</w:t>
      </w:r>
      <w:r>
        <w:rPr>
          <w:bCs/>
          <w:sz w:val="24"/>
          <w:szCs w:val="24"/>
        </w:rPr>
        <w:t>）</w:t>
      </w:r>
      <w:r>
        <w:rPr>
          <w:rFonts w:hint="eastAsia"/>
          <w:bCs/>
          <w:sz w:val="24"/>
          <w:szCs w:val="24"/>
        </w:rPr>
        <w:t>违反规定</w:t>
      </w:r>
      <w:r>
        <w:rPr>
          <w:bCs/>
          <w:sz w:val="24"/>
          <w:szCs w:val="24"/>
        </w:rPr>
        <w:t>向他人贷款或者提供担保；</w:t>
      </w:r>
    </w:p>
    <w:p w14:paraId="5F3A1B01">
      <w:pPr>
        <w:spacing w:line="360" w:lineRule="auto"/>
        <w:ind w:firstLine="480" w:firstLineChars="200"/>
        <w:rPr>
          <w:bCs/>
          <w:sz w:val="24"/>
          <w:szCs w:val="24"/>
        </w:rPr>
      </w:pPr>
      <w:r>
        <w:rPr>
          <w:bCs/>
          <w:sz w:val="24"/>
          <w:szCs w:val="24"/>
        </w:rPr>
        <w:t>（</w:t>
      </w:r>
      <w:r>
        <w:rPr>
          <w:rFonts w:hint="eastAsia"/>
          <w:bCs/>
          <w:sz w:val="24"/>
          <w:szCs w:val="24"/>
        </w:rPr>
        <w:t>3</w:t>
      </w:r>
      <w:r>
        <w:rPr>
          <w:bCs/>
          <w:sz w:val="24"/>
          <w:szCs w:val="24"/>
        </w:rPr>
        <w:t>）从事承担无限责任的投资；</w:t>
      </w:r>
    </w:p>
    <w:p w14:paraId="532ADBF0">
      <w:pPr>
        <w:spacing w:line="360" w:lineRule="auto"/>
        <w:ind w:firstLine="480" w:firstLineChars="200"/>
        <w:rPr>
          <w:bCs/>
          <w:sz w:val="24"/>
          <w:szCs w:val="24"/>
        </w:rPr>
      </w:pPr>
      <w:r>
        <w:rPr>
          <w:bCs/>
          <w:sz w:val="24"/>
          <w:szCs w:val="24"/>
        </w:rPr>
        <w:t>（</w:t>
      </w:r>
      <w:r>
        <w:rPr>
          <w:rFonts w:hint="eastAsia"/>
          <w:bCs/>
          <w:sz w:val="24"/>
          <w:szCs w:val="24"/>
        </w:rPr>
        <w:t>4</w:t>
      </w:r>
      <w:r>
        <w:rPr>
          <w:bCs/>
          <w:sz w:val="24"/>
          <w:szCs w:val="24"/>
        </w:rPr>
        <w:t>）向其基金管理人、基金托管人出资；</w:t>
      </w:r>
    </w:p>
    <w:p w14:paraId="2E447994">
      <w:pPr>
        <w:spacing w:line="360" w:lineRule="auto"/>
        <w:ind w:firstLine="480" w:firstLineChars="200"/>
        <w:rPr>
          <w:bCs/>
          <w:sz w:val="24"/>
          <w:szCs w:val="24"/>
        </w:rPr>
      </w:pPr>
      <w:r>
        <w:rPr>
          <w:bCs/>
          <w:sz w:val="24"/>
          <w:szCs w:val="24"/>
        </w:rPr>
        <w:t>（</w:t>
      </w:r>
      <w:r>
        <w:rPr>
          <w:rFonts w:hint="eastAsia"/>
          <w:bCs/>
          <w:sz w:val="24"/>
          <w:szCs w:val="24"/>
        </w:rPr>
        <w:t>5</w:t>
      </w:r>
      <w:r>
        <w:rPr>
          <w:bCs/>
          <w:sz w:val="24"/>
          <w:szCs w:val="24"/>
        </w:rPr>
        <w:t>）从事内幕交易、操纵证券交易价格及其他不正当的证券交易活动；</w:t>
      </w:r>
    </w:p>
    <w:p w14:paraId="13F8F21E">
      <w:pPr>
        <w:spacing w:line="360" w:lineRule="auto"/>
        <w:ind w:firstLine="480" w:firstLineChars="200"/>
        <w:rPr>
          <w:bCs/>
          <w:sz w:val="24"/>
          <w:szCs w:val="24"/>
        </w:rPr>
      </w:pPr>
      <w:r>
        <w:rPr>
          <w:bCs/>
          <w:sz w:val="24"/>
          <w:szCs w:val="24"/>
        </w:rPr>
        <w:t>（</w:t>
      </w:r>
      <w:r>
        <w:rPr>
          <w:rFonts w:hint="eastAsia"/>
          <w:bCs/>
          <w:sz w:val="24"/>
          <w:szCs w:val="24"/>
        </w:rPr>
        <w:t>6</w:t>
      </w:r>
      <w:r>
        <w:rPr>
          <w:bCs/>
          <w:sz w:val="24"/>
          <w:szCs w:val="24"/>
        </w:rPr>
        <w:t>）法律</w:t>
      </w:r>
      <w:r>
        <w:rPr>
          <w:rFonts w:hint="eastAsia"/>
          <w:bCs/>
          <w:sz w:val="24"/>
          <w:szCs w:val="24"/>
        </w:rPr>
        <w:t>、</w:t>
      </w:r>
      <w:r>
        <w:rPr>
          <w:bCs/>
          <w:sz w:val="24"/>
          <w:szCs w:val="24"/>
        </w:rPr>
        <w:t>法规</w:t>
      </w:r>
      <w:r>
        <w:rPr>
          <w:rFonts w:hint="eastAsia"/>
          <w:bCs/>
          <w:sz w:val="24"/>
          <w:szCs w:val="24"/>
        </w:rPr>
        <w:t>和</w:t>
      </w:r>
      <w:r>
        <w:rPr>
          <w:bCs/>
          <w:sz w:val="24"/>
          <w:szCs w:val="24"/>
        </w:rPr>
        <w:t>中国证监会规定禁止的其他活动</w:t>
      </w:r>
      <w:r>
        <w:rPr>
          <w:rFonts w:hint="eastAsia"/>
          <w:bCs/>
          <w:sz w:val="24"/>
          <w:szCs w:val="24"/>
        </w:rPr>
        <w:t>。</w:t>
      </w:r>
    </w:p>
    <w:p w14:paraId="506D2A16">
      <w:pPr>
        <w:spacing w:line="360" w:lineRule="auto"/>
        <w:ind w:firstLine="480" w:firstLineChars="200"/>
        <w:rPr>
          <w:bCs/>
          <w:sz w:val="24"/>
          <w:szCs w:val="24"/>
        </w:rPr>
      </w:pPr>
      <w:r>
        <w:rPr>
          <w:rFonts w:hint="eastAsia"/>
          <w:bCs/>
          <w:sz w:val="24"/>
          <w:szCs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F468E2">
      <w:pPr>
        <w:spacing w:line="360" w:lineRule="auto"/>
        <w:ind w:firstLine="480" w:firstLineChars="200"/>
        <w:rPr>
          <w:bCs/>
          <w:sz w:val="24"/>
          <w:szCs w:val="24"/>
        </w:rPr>
      </w:pPr>
      <w:r>
        <w:rPr>
          <w:rFonts w:hint="eastAsia"/>
          <w:bCs/>
          <w:sz w:val="24"/>
          <w:szCs w:val="24"/>
        </w:rPr>
        <w:t>法律法规或监管部门取消上述限制，如适用于本基金，则本基金投资不再受相关限制。</w:t>
      </w:r>
    </w:p>
    <w:p w14:paraId="6968663D">
      <w:pPr>
        <w:spacing w:line="360" w:lineRule="auto"/>
        <w:ind w:firstLine="480" w:firstLineChars="200"/>
        <w:rPr>
          <w:bCs/>
          <w:sz w:val="24"/>
          <w:szCs w:val="24"/>
        </w:rPr>
      </w:pPr>
      <w:r>
        <w:rPr>
          <w:rFonts w:hint="eastAsia"/>
          <w:bCs/>
          <w:sz w:val="24"/>
          <w:szCs w:val="24"/>
        </w:rPr>
        <w:t>六、基金资产净值的计算方法和公告方式</w:t>
      </w:r>
    </w:p>
    <w:p w14:paraId="65271E94">
      <w:pPr>
        <w:spacing w:line="360" w:lineRule="auto"/>
        <w:ind w:firstLine="480" w:firstLineChars="200"/>
        <w:rPr>
          <w:bCs/>
          <w:sz w:val="24"/>
          <w:szCs w:val="24"/>
        </w:rPr>
      </w:pPr>
      <w:r>
        <w:rPr>
          <w:rFonts w:hint="eastAsia"/>
          <w:bCs/>
          <w:sz w:val="24"/>
          <w:szCs w:val="24"/>
        </w:rPr>
        <w:t>（一）</w:t>
      </w:r>
      <w:r>
        <w:rPr>
          <w:bCs/>
          <w:sz w:val="24"/>
          <w:szCs w:val="24"/>
        </w:rPr>
        <w:t>基金资产净值</w:t>
      </w:r>
    </w:p>
    <w:p w14:paraId="28CD0D9A">
      <w:pPr>
        <w:spacing w:line="360" w:lineRule="auto"/>
        <w:ind w:firstLine="480" w:firstLineChars="200"/>
        <w:rPr>
          <w:bCs/>
          <w:sz w:val="24"/>
          <w:szCs w:val="24"/>
        </w:rPr>
      </w:pPr>
      <w:r>
        <w:rPr>
          <w:bCs/>
          <w:sz w:val="24"/>
          <w:szCs w:val="24"/>
        </w:rPr>
        <w:t>基金资产净值是指基金资产总值减去基金负债后的价值。</w:t>
      </w:r>
    </w:p>
    <w:p w14:paraId="5D8F8DC2">
      <w:pPr>
        <w:spacing w:line="360" w:lineRule="auto"/>
        <w:ind w:firstLine="480" w:firstLineChars="200"/>
        <w:rPr>
          <w:bCs/>
          <w:sz w:val="24"/>
          <w:szCs w:val="24"/>
        </w:rPr>
      </w:pPr>
      <w:r>
        <w:rPr>
          <w:rFonts w:hint="eastAsia"/>
          <w:bCs/>
          <w:sz w:val="24"/>
          <w:szCs w:val="24"/>
        </w:rPr>
        <w:t>（二）估值方法</w:t>
      </w:r>
    </w:p>
    <w:p w14:paraId="673E29E2">
      <w:pPr>
        <w:spacing w:line="360" w:lineRule="auto"/>
        <w:ind w:firstLine="480" w:firstLineChars="200"/>
        <w:rPr>
          <w:bCs/>
          <w:sz w:val="24"/>
          <w:szCs w:val="24"/>
        </w:rPr>
      </w:pPr>
      <w:r>
        <w:rPr>
          <w:rFonts w:hint="eastAsia"/>
          <w:bCs/>
          <w:sz w:val="24"/>
          <w:szCs w:val="24"/>
        </w:rPr>
        <w:t xml:space="preserve">本基金所持有的投资品种，按如下原则进行估值： </w:t>
      </w:r>
    </w:p>
    <w:p w14:paraId="56D9BE35">
      <w:pPr>
        <w:spacing w:line="360" w:lineRule="auto"/>
        <w:ind w:firstLine="480" w:firstLineChars="200"/>
        <w:rPr>
          <w:bCs/>
          <w:sz w:val="24"/>
          <w:szCs w:val="24"/>
        </w:rPr>
      </w:pPr>
      <w:r>
        <w:rPr>
          <w:rFonts w:hint="eastAsia"/>
          <w:bCs/>
          <w:sz w:val="24"/>
          <w:szCs w:val="24"/>
        </w:rPr>
        <w:t xml:space="preserve">1、对存在活跃市场的投资品种，如估值日有市价的，采用市价确定公允价值；估值日无市价，但最近交易日后经济环境未发生重大变化且证券发行机构未发生影响证券价格的重大事件的，采用最近交易市价确定公允价值。 </w:t>
      </w:r>
    </w:p>
    <w:p w14:paraId="7A62E1CC">
      <w:pPr>
        <w:spacing w:line="360" w:lineRule="auto"/>
        <w:ind w:firstLine="480" w:firstLineChars="200"/>
        <w:rPr>
          <w:bCs/>
          <w:sz w:val="24"/>
          <w:szCs w:val="24"/>
        </w:rPr>
      </w:pPr>
      <w:r>
        <w:rPr>
          <w:rFonts w:hint="eastAsia"/>
          <w:bCs/>
          <w:sz w:val="24"/>
          <w:szCs w:val="24"/>
        </w:rPr>
        <w:t xml:space="preserve">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 </w:t>
      </w:r>
    </w:p>
    <w:p w14:paraId="3E7D5A8D">
      <w:pPr>
        <w:spacing w:line="360" w:lineRule="auto"/>
        <w:ind w:firstLine="480" w:firstLineChars="200"/>
        <w:rPr>
          <w:bCs/>
          <w:sz w:val="24"/>
          <w:szCs w:val="24"/>
        </w:rPr>
      </w:pPr>
      <w:r>
        <w:rPr>
          <w:rFonts w:hint="eastAsia"/>
          <w:bCs/>
          <w:sz w:val="24"/>
          <w:szCs w:val="24"/>
        </w:rPr>
        <w:t xml:space="preserve">3、当投资品种不存在活跃市场，采用市场参与者普遍认同，或被以往市场实际交易价格验证的估值技术，确定投资品种的公允价值。 </w:t>
      </w:r>
    </w:p>
    <w:p w14:paraId="6A07AE68">
      <w:pPr>
        <w:spacing w:line="360" w:lineRule="auto"/>
        <w:ind w:firstLine="480" w:firstLineChars="200"/>
        <w:rPr>
          <w:bCs/>
          <w:sz w:val="24"/>
          <w:szCs w:val="24"/>
        </w:rPr>
      </w:pPr>
      <w:r>
        <w:rPr>
          <w:rFonts w:hint="eastAsia"/>
          <w:bCs/>
          <w:sz w:val="24"/>
          <w:szCs w:val="24"/>
        </w:rPr>
        <w:t>4、本基金投资股指期货合约，一般以估值当日结算价进行估值，估值当日无结算价的，且最近交易日后经济环境未发生重大变化的，采用最近交易日结算价估值。</w:t>
      </w:r>
    </w:p>
    <w:p w14:paraId="43BACE28">
      <w:pPr>
        <w:spacing w:line="360" w:lineRule="auto"/>
        <w:ind w:firstLine="480" w:firstLineChars="200"/>
        <w:rPr>
          <w:bCs/>
          <w:sz w:val="24"/>
          <w:szCs w:val="24"/>
        </w:rPr>
      </w:pPr>
      <w:r>
        <w:rPr>
          <w:rFonts w:hint="eastAsia"/>
          <w:bCs/>
          <w:sz w:val="24"/>
          <w:szCs w:val="24"/>
        </w:rPr>
        <w:t xml:space="preserve">5、在不违背上述公允价值确定原则的前提下，本基金可以采用第三方估值机构提供的相关数据。 </w:t>
      </w:r>
    </w:p>
    <w:p w14:paraId="7083B077">
      <w:pPr>
        <w:spacing w:line="360" w:lineRule="auto"/>
        <w:ind w:firstLine="480" w:firstLineChars="200"/>
        <w:rPr>
          <w:rFonts w:ascii="宋体" w:hAnsi="宋体"/>
          <w:sz w:val="24"/>
        </w:rPr>
      </w:pPr>
      <w:r>
        <w:rPr>
          <w:rFonts w:hint="eastAsia"/>
          <w:bCs/>
          <w:sz w:val="24"/>
        </w:rPr>
        <w:t>6、</w:t>
      </w:r>
      <w:r>
        <w:rPr>
          <w:rFonts w:hint="eastAsia" w:ascii="宋体" w:hAnsi="宋体"/>
          <w:sz w:val="24"/>
        </w:rPr>
        <w:t>本基金投资存托凭证的估值核算，依照境内上市交易的股票执行。</w:t>
      </w:r>
    </w:p>
    <w:p w14:paraId="0715C091">
      <w:pPr>
        <w:spacing w:line="360" w:lineRule="auto"/>
        <w:ind w:firstLine="480" w:firstLineChars="200"/>
        <w:rPr>
          <w:bCs/>
          <w:sz w:val="24"/>
          <w:szCs w:val="24"/>
        </w:rPr>
      </w:pPr>
      <w:r>
        <w:rPr>
          <w:rFonts w:hint="eastAsia"/>
          <w:bCs/>
          <w:sz w:val="24"/>
          <w:szCs w:val="24"/>
        </w:rPr>
        <w:t xml:space="preserve">7、如有充足理由认为按上述方法进行估值不能客观反映其公允价值的，基金管理人可根据具体情况与基金托管人商定后，按最能反映公允价值的价格估值。 </w:t>
      </w:r>
    </w:p>
    <w:p w14:paraId="68892D8D">
      <w:pPr>
        <w:spacing w:line="360" w:lineRule="auto"/>
        <w:ind w:firstLine="480" w:firstLineChars="200"/>
        <w:rPr>
          <w:bCs/>
          <w:sz w:val="24"/>
          <w:szCs w:val="24"/>
        </w:rPr>
      </w:pPr>
      <w:r>
        <w:rPr>
          <w:rFonts w:hint="eastAsia"/>
          <w:bCs/>
          <w:sz w:val="24"/>
          <w:szCs w:val="24"/>
        </w:rPr>
        <w:t xml:space="preserve">8、存在相关法律法规以及监管部门有相关规范且适用于本基金的，从其规定。如有新增事项，按国家最新规定估值。 </w:t>
      </w:r>
    </w:p>
    <w:p w14:paraId="71A560DF">
      <w:pPr>
        <w:spacing w:line="360" w:lineRule="auto"/>
        <w:ind w:firstLine="480" w:firstLineChars="200"/>
        <w:rPr>
          <w:bCs/>
          <w:sz w:val="24"/>
          <w:szCs w:val="24"/>
        </w:rPr>
      </w:pPr>
      <w:r>
        <w:rPr>
          <w:rFonts w:hint="eastAsia"/>
          <w:bCs/>
          <w:sz w:val="24"/>
          <w:szCs w:val="24"/>
        </w:rPr>
        <w:t xml:space="preserve">如基金管理人或基金托管人发现基金估值违反基金合同订明的估值方法、程序及相关法律法规的规定或者未能充分维护基金份额持有人利益时，应立即通知对方，共同查明原因，双方协商解决。 </w:t>
      </w:r>
    </w:p>
    <w:p w14:paraId="7082455E">
      <w:pPr>
        <w:spacing w:line="360" w:lineRule="auto"/>
        <w:ind w:firstLine="480" w:firstLineChars="200"/>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0AC18D0">
      <w:pPr>
        <w:spacing w:line="360" w:lineRule="auto"/>
        <w:ind w:firstLine="480" w:firstLineChars="200"/>
        <w:rPr>
          <w:bCs/>
          <w:sz w:val="24"/>
        </w:rPr>
      </w:pPr>
      <w:r>
        <w:rPr>
          <w:rFonts w:hint="eastAsia"/>
          <w:bCs/>
          <w:sz w:val="24"/>
          <w:szCs w:val="24"/>
        </w:rPr>
        <w:t>（三）</w:t>
      </w:r>
      <w:r>
        <w:rPr>
          <w:rFonts w:hint="eastAsia"/>
          <w:bCs/>
          <w:sz w:val="24"/>
        </w:rPr>
        <w:t>基金净值信息</w:t>
      </w:r>
    </w:p>
    <w:p w14:paraId="7540D287">
      <w:pPr>
        <w:spacing w:line="360" w:lineRule="auto"/>
        <w:ind w:firstLine="480" w:firstLineChars="200"/>
        <w:rPr>
          <w:bCs/>
          <w:sz w:val="24"/>
        </w:rPr>
      </w:pPr>
      <w:r>
        <w:rPr>
          <w:rFonts w:hint="eastAsia"/>
          <w:bCs/>
          <w:sz w:val="24"/>
        </w:rPr>
        <w:t>《基金合同》生效后，在开始办理基金份额申购或者赎回前，基金管理人应当至少每周在指定网站披露一次各类基金份额净值和基金份额累计净值。</w:t>
      </w:r>
    </w:p>
    <w:p w14:paraId="52D9859E">
      <w:pPr>
        <w:spacing w:line="360" w:lineRule="auto"/>
        <w:ind w:firstLine="480" w:firstLineChars="200"/>
        <w:rPr>
          <w:bCs/>
          <w:sz w:val="24"/>
        </w:rPr>
      </w:pPr>
      <w:r>
        <w:rPr>
          <w:rFonts w:hint="eastAsia"/>
          <w:bCs/>
          <w:sz w:val="24"/>
        </w:rPr>
        <w:t>在开始办理基金份额申购或者赎回后，基金管理人应当在不晚于每个开放日的次日，通过指定网站、基金销售机构网站或者营业网点披露开放日的各类基金份额净值和基金份额累计净值。</w:t>
      </w:r>
    </w:p>
    <w:p w14:paraId="7DE7F2E9">
      <w:pPr>
        <w:spacing w:line="360" w:lineRule="auto"/>
        <w:ind w:firstLine="480" w:firstLineChars="200"/>
        <w:rPr>
          <w:bCs/>
          <w:sz w:val="24"/>
        </w:rPr>
      </w:pPr>
      <w:r>
        <w:rPr>
          <w:rFonts w:hint="eastAsia"/>
          <w:bCs/>
          <w:sz w:val="24"/>
        </w:rPr>
        <w:t>基金管理人应当在不晚于半年度和年度最后一日的次日，在指定网站披露半年度和年度最后一日的各类基金份额净值和基金份额累计净值。</w:t>
      </w:r>
    </w:p>
    <w:p w14:paraId="465EBFCB">
      <w:pPr>
        <w:spacing w:line="360" w:lineRule="auto"/>
        <w:ind w:firstLine="480" w:firstLineChars="200"/>
        <w:rPr>
          <w:bCs/>
          <w:sz w:val="24"/>
          <w:szCs w:val="24"/>
        </w:rPr>
      </w:pPr>
      <w:r>
        <w:rPr>
          <w:rFonts w:hint="eastAsia"/>
          <w:bCs/>
          <w:sz w:val="24"/>
          <w:szCs w:val="24"/>
        </w:rPr>
        <w:t>七、基金合同解除和终止的事由、程序以及基金财产清算方式</w:t>
      </w:r>
    </w:p>
    <w:p w14:paraId="3BF09EFF">
      <w:pPr>
        <w:spacing w:line="360" w:lineRule="auto"/>
        <w:ind w:firstLine="480" w:firstLineChars="200"/>
        <w:rPr>
          <w:bCs/>
          <w:sz w:val="24"/>
          <w:szCs w:val="24"/>
        </w:rPr>
      </w:pPr>
      <w:r>
        <w:rPr>
          <w:rFonts w:hint="eastAsia"/>
          <w:bCs/>
          <w:sz w:val="24"/>
          <w:szCs w:val="24"/>
        </w:rPr>
        <w:t>（一）</w:t>
      </w:r>
      <w:r>
        <w:rPr>
          <w:bCs/>
          <w:sz w:val="24"/>
          <w:szCs w:val="24"/>
        </w:rPr>
        <w:t>《基金合同》的变更</w:t>
      </w:r>
    </w:p>
    <w:p w14:paraId="191064B8">
      <w:pPr>
        <w:autoSpaceDE w:val="0"/>
        <w:autoSpaceDN w:val="0"/>
        <w:adjustRightInd w:val="0"/>
        <w:spacing w:line="360" w:lineRule="auto"/>
        <w:ind w:firstLine="480" w:firstLineChars="200"/>
        <w:jc w:val="left"/>
        <w:rPr>
          <w:bCs/>
          <w:sz w:val="24"/>
          <w:szCs w:val="24"/>
        </w:rPr>
      </w:pPr>
      <w:r>
        <w:rPr>
          <w:bCs/>
          <w:sz w:val="24"/>
          <w:szCs w:val="24"/>
        </w:rPr>
        <w:t>1、变更基金合同</w:t>
      </w:r>
      <w:r>
        <w:rPr>
          <w:rFonts w:hint="eastAsia"/>
          <w:bCs/>
          <w:sz w:val="24"/>
          <w:szCs w:val="24"/>
        </w:rPr>
        <w:t>涉及</w:t>
      </w:r>
      <w:r>
        <w:rPr>
          <w:bCs/>
          <w:sz w:val="24"/>
          <w:szCs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F4B6A5">
      <w:pPr>
        <w:spacing w:line="360" w:lineRule="auto"/>
        <w:ind w:firstLine="480" w:firstLineChars="200"/>
        <w:rPr>
          <w:bCs/>
          <w:sz w:val="24"/>
          <w:szCs w:val="24"/>
        </w:rPr>
      </w:pPr>
      <w:r>
        <w:rPr>
          <w:rFonts w:hint="eastAsia"/>
          <w:bCs/>
          <w:sz w:val="24"/>
          <w:szCs w:val="24"/>
        </w:rPr>
        <w:t xml:space="preserve"> </w:t>
      </w:r>
      <w:r>
        <w:rPr>
          <w:bCs/>
          <w:sz w:val="24"/>
          <w:szCs w:val="24"/>
        </w:rPr>
        <w:t>2、关于《基金合同》变更的基金份额持有人大会决议</w:t>
      </w:r>
      <w:r>
        <w:rPr>
          <w:rFonts w:hint="eastAsia"/>
          <w:bCs/>
          <w:sz w:val="24"/>
          <w:szCs w:val="24"/>
        </w:rPr>
        <w:t>需报中国证监会备案</w:t>
      </w:r>
      <w:r>
        <w:rPr>
          <w:bCs/>
          <w:sz w:val="24"/>
          <w:szCs w:val="24"/>
        </w:rPr>
        <w:t>，自决议生效后</w:t>
      </w:r>
      <w:r>
        <w:rPr>
          <w:rFonts w:hint="eastAsia"/>
          <w:bCs/>
          <w:sz w:val="24"/>
          <w:szCs w:val="24"/>
        </w:rPr>
        <w:t>按规定</w:t>
      </w:r>
      <w:r>
        <w:rPr>
          <w:bCs/>
          <w:sz w:val="24"/>
          <w:szCs w:val="24"/>
        </w:rPr>
        <w:t>在指定媒介公告。</w:t>
      </w:r>
    </w:p>
    <w:p w14:paraId="5B0F9C93">
      <w:pPr>
        <w:spacing w:line="360" w:lineRule="auto"/>
        <w:ind w:firstLine="480" w:firstLineChars="200"/>
        <w:rPr>
          <w:bCs/>
          <w:sz w:val="24"/>
          <w:szCs w:val="24"/>
        </w:rPr>
      </w:pPr>
      <w:r>
        <w:rPr>
          <w:rFonts w:hint="eastAsia"/>
          <w:bCs/>
          <w:sz w:val="24"/>
          <w:szCs w:val="24"/>
        </w:rPr>
        <w:t>（二）</w:t>
      </w:r>
      <w:r>
        <w:rPr>
          <w:bCs/>
          <w:sz w:val="24"/>
          <w:szCs w:val="24"/>
        </w:rPr>
        <w:t>《基金合同》的终止事由</w:t>
      </w:r>
    </w:p>
    <w:p w14:paraId="00F69BEE">
      <w:pPr>
        <w:spacing w:line="360" w:lineRule="auto"/>
        <w:ind w:firstLine="480" w:firstLineChars="200"/>
        <w:rPr>
          <w:bCs/>
          <w:sz w:val="24"/>
          <w:szCs w:val="24"/>
        </w:rPr>
      </w:pPr>
      <w:r>
        <w:rPr>
          <w:bCs/>
          <w:sz w:val="24"/>
          <w:szCs w:val="24"/>
        </w:rPr>
        <w:t>有下列情形之一的，</w:t>
      </w:r>
      <w:r>
        <w:rPr>
          <w:rFonts w:hint="eastAsia"/>
          <w:bCs/>
          <w:sz w:val="24"/>
          <w:szCs w:val="24"/>
        </w:rPr>
        <w:t>并在履行相关程序后，</w:t>
      </w:r>
      <w:r>
        <w:rPr>
          <w:bCs/>
          <w:sz w:val="24"/>
          <w:szCs w:val="24"/>
        </w:rPr>
        <w:t>《基金合同》应当终止：</w:t>
      </w:r>
    </w:p>
    <w:p w14:paraId="0FC8BBDA">
      <w:pPr>
        <w:spacing w:line="360" w:lineRule="auto"/>
        <w:ind w:firstLine="480" w:firstLineChars="200"/>
        <w:rPr>
          <w:bCs/>
          <w:sz w:val="24"/>
          <w:szCs w:val="24"/>
        </w:rPr>
      </w:pPr>
      <w:r>
        <w:rPr>
          <w:bCs/>
          <w:sz w:val="24"/>
          <w:szCs w:val="24"/>
        </w:rPr>
        <w:t>1、基金份额持有人大会决定终止的；</w:t>
      </w:r>
    </w:p>
    <w:p w14:paraId="22DB4B20">
      <w:pPr>
        <w:spacing w:line="360" w:lineRule="auto"/>
        <w:ind w:firstLine="480" w:firstLineChars="200"/>
        <w:rPr>
          <w:bCs/>
          <w:sz w:val="24"/>
          <w:szCs w:val="24"/>
        </w:rPr>
      </w:pPr>
      <w:r>
        <w:rPr>
          <w:bCs/>
          <w:sz w:val="24"/>
          <w:szCs w:val="24"/>
        </w:rPr>
        <w:t>2、基金管理人、基金托管人职责终止，在6个月内没有新基金管理人、新基金托管人承接的；</w:t>
      </w:r>
    </w:p>
    <w:p w14:paraId="51DDE10E">
      <w:pPr>
        <w:spacing w:line="360" w:lineRule="auto"/>
        <w:ind w:firstLine="480" w:firstLineChars="200"/>
        <w:rPr>
          <w:bCs/>
          <w:sz w:val="24"/>
          <w:szCs w:val="24"/>
        </w:rPr>
      </w:pPr>
      <w:r>
        <w:rPr>
          <w:rFonts w:hint="eastAsia"/>
          <w:bCs/>
          <w:sz w:val="24"/>
          <w:szCs w:val="24"/>
        </w:rPr>
        <w:t>3</w:t>
      </w:r>
      <w:r>
        <w:rPr>
          <w:bCs/>
          <w:sz w:val="24"/>
          <w:szCs w:val="24"/>
        </w:rPr>
        <w:t>、《基金合同》约定的其他情形；</w:t>
      </w:r>
    </w:p>
    <w:p w14:paraId="480FB0C9">
      <w:pPr>
        <w:spacing w:line="360" w:lineRule="auto"/>
        <w:ind w:firstLine="480" w:firstLineChars="200"/>
        <w:rPr>
          <w:bCs/>
          <w:sz w:val="24"/>
          <w:szCs w:val="24"/>
        </w:rPr>
      </w:pPr>
      <w:r>
        <w:rPr>
          <w:rFonts w:hint="eastAsia"/>
          <w:bCs/>
          <w:sz w:val="24"/>
          <w:szCs w:val="24"/>
        </w:rPr>
        <w:t>4</w:t>
      </w:r>
      <w:r>
        <w:rPr>
          <w:bCs/>
          <w:sz w:val="24"/>
          <w:szCs w:val="24"/>
        </w:rPr>
        <w:t>、相关法律法规和中国证监会规定的其他情况。</w:t>
      </w:r>
    </w:p>
    <w:p w14:paraId="1CFDF752">
      <w:pPr>
        <w:spacing w:line="360" w:lineRule="auto"/>
        <w:ind w:firstLine="480" w:firstLineChars="200"/>
        <w:rPr>
          <w:bCs/>
          <w:sz w:val="24"/>
          <w:szCs w:val="24"/>
        </w:rPr>
      </w:pPr>
      <w:r>
        <w:rPr>
          <w:rFonts w:hint="eastAsia"/>
          <w:bCs/>
          <w:sz w:val="24"/>
          <w:szCs w:val="24"/>
        </w:rPr>
        <w:t>（三）</w:t>
      </w:r>
      <w:r>
        <w:rPr>
          <w:bCs/>
          <w:sz w:val="24"/>
          <w:szCs w:val="24"/>
        </w:rPr>
        <w:t>基金财产的清算</w:t>
      </w:r>
    </w:p>
    <w:p w14:paraId="5605D8A2">
      <w:pPr>
        <w:spacing w:line="360" w:lineRule="auto"/>
        <w:ind w:firstLine="480" w:firstLineChars="200"/>
        <w:rPr>
          <w:bCs/>
          <w:sz w:val="24"/>
          <w:szCs w:val="24"/>
        </w:rPr>
      </w:pPr>
      <w:r>
        <w:rPr>
          <w:bCs/>
          <w:sz w:val="24"/>
          <w:szCs w:val="24"/>
        </w:rPr>
        <w:t>1、基金财产清算小组：自出现《基金合同》终止事由之日起30个工作日内成立清算小组，基金管理人组织基金财产清算小组并在中国证监会的监督下进行基金清算。</w:t>
      </w:r>
    </w:p>
    <w:p w14:paraId="3954A282">
      <w:pPr>
        <w:spacing w:line="360" w:lineRule="auto"/>
        <w:ind w:firstLine="480" w:firstLineChars="200"/>
        <w:rPr>
          <w:bCs/>
          <w:sz w:val="24"/>
          <w:szCs w:val="24"/>
        </w:rPr>
      </w:pPr>
      <w:r>
        <w:rPr>
          <w:bCs/>
          <w:sz w:val="24"/>
          <w:szCs w:val="24"/>
        </w:rPr>
        <w:t>2、基金财产清算小组组成：基金财产清算小组成员由基金管理人、基金托管人、具有从事证券</w:t>
      </w:r>
      <w:r>
        <w:rPr>
          <w:rFonts w:hint="eastAsia"/>
          <w:bCs/>
          <w:sz w:val="24"/>
          <w:szCs w:val="24"/>
        </w:rPr>
        <w:t>、期货</w:t>
      </w:r>
      <w:r>
        <w:rPr>
          <w:bCs/>
          <w:sz w:val="24"/>
          <w:szCs w:val="24"/>
        </w:rPr>
        <w:t>相关业务资格的注册会计师、律师以及中国证监会指定的人员组成。基金财产清算小组可以聘用必要的工作人员。</w:t>
      </w:r>
    </w:p>
    <w:p w14:paraId="7EEB1F07">
      <w:pPr>
        <w:spacing w:line="360" w:lineRule="auto"/>
        <w:ind w:firstLine="480" w:firstLineChars="200"/>
        <w:rPr>
          <w:bCs/>
          <w:sz w:val="24"/>
          <w:szCs w:val="24"/>
        </w:rPr>
      </w:pPr>
      <w:r>
        <w:rPr>
          <w:bCs/>
          <w:sz w:val="24"/>
          <w:szCs w:val="24"/>
        </w:rPr>
        <w:t>3、基金财产清算小组职责：基金财产清算小组负责基金财产的保管、清理、估价、变现和分配。基金财产清算小组可以依法进行必要的民事活动。</w:t>
      </w:r>
    </w:p>
    <w:p w14:paraId="1D124C87">
      <w:pPr>
        <w:spacing w:line="360" w:lineRule="auto"/>
        <w:ind w:firstLine="480" w:firstLineChars="200"/>
        <w:rPr>
          <w:bCs/>
          <w:sz w:val="24"/>
          <w:szCs w:val="24"/>
        </w:rPr>
      </w:pPr>
      <w:r>
        <w:rPr>
          <w:bCs/>
          <w:sz w:val="24"/>
          <w:szCs w:val="24"/>
        </w:rPr>
        <w:t>4、基金财产清算程序：</w:t>
      </w:r>
    </w:p>
    <w:p w14:paraId="620E899E">
      <w:pPr>
        <w:spacing w:line="360" w:lineRule="auto"/>
        <w:ind w:firstLine="480" w:firstLineChars="200"/>
        <w:rPr>
          <w:bCs/>
          <w:sz w:val="24"/>
          <w:szCs w:val="24"/>
        </w:rPr>
      </w:pPr>
      <w:r>
        <w:rPr>
          <w:bCs/>
          <w:sz w:val="24"/>
          <w:szCs w:val="24"/>
        </w:rPr>
        <w:t>（1）《基金合同》终止情形出现时，由基金财产清算小组统一接管基金；</w:t>
      </w:r>
    </w:p>
    <w:p w14:paraId="62C2638A">
      <w:pPr>
        <w:spacing w:line="360" w:lineRule="auto"/>
        <w:ind w:firstLine="480" w:firstLineChars="200"/>
        <w:rPr>
          <w:bCs/>
          <w:sz w:val="24"/>
          <w:szCs w:val="24"/>
        </w:rPr>
      </w:pPr>
      <w:r>
        <w:rPr>
          <w:bCs/>
          <w:sz w:val="24"/>
          <w:szCs w:val="24"/>
        </w:rPr>
        <w:t>（2）对基金财产和债权债务进行清理和确认；</w:t>
      </w:r>
    </w:p>
    <w:p w14:paraId="5671899C">
      <w:pPr>
        <w:spacing w:line="360" w:lineRule="auto"/>
        <w:ind w:firstLine="480" w:firstLineChars="200"/>
        <w:rPr>
          <w:bCs/>
          <w:sz w:val="24"/>
          <w:szCs w:val="24"/>
        </w:rPr>
      </w:pPr>
      <w:r>
        <w:rPr>
          <w:bCs/>
          <w:sz w:val="24"/>
          <w:szCs w:val="24"/>
        </w:rPr>
        <w:t>（3）对基金财产进行估值和变现；</w:t>
      </w:r>
    </w:p>
    <w:p w14:paraId="5CB915C3">
      <w:pPr>
        <w:spacing w:line="360" w:lineRule="auto"/>
        <w:ind w:firstLine="480" w:firstLineChars="200"/>
        <w:rPr>
          <w:bCs/>
          <w:sz w:val="24"/>
          <w:szCs w:val="24"/>
        </w:rPr>
      </w:pPr>
      <w:r>
        <w:rPr>
          <w:bCs/>
          <w:sz w:val="24"/>
          <w:szCs w:val="24"/>
        </w:rPr>
        <w:t>（4）制作清算报告；</w:t>
      </w:r>
    </w:p>
    <w:p w14:paraId="4384CFDA">
      <w:pPr>
        <w:spacing w:line="360" w:lineRule="auto"/>
        <w:ind w:firstLine="480" w:firstLineChars="200"/>
        <w:rPr>
          <w:bCs/>
          <w:sz w:val="24"/>
          <w:szCs w:val="24"/>
        </w:rPr>
      </w:pPr>
      <w:r>
        <w:rPr>
          <w:bCs/>
          <w:sz w:val="24"/>
          <w:szCs w:val="24"/>
        </w:rPr>
        <w:t>（5）聘请会计师事务所对清算报告进行外部审计，聘请律师事务所对清算报告出具法律意见书；</w:t>
      </w:r>
    </w:p>
    <w:p w14:paraId="5926BB41">
      <w:pPr>
        <w:spacing w:line="360" w:lineRule="auto"/>
        <w:ind w:firstLine="480" w:firstLineChars="200"/>
        <w:rPr>
          <w:bCs/>
          <w:sz w:val="24"/>
          <w:szCs w:val="24"/>
        </w:rPr>
      </w:pPr>
      <w:r>
        <w:rPr>
          <w:bCs/>
          <w:sz w:val="24"/>
          <w:szCs w:val="24"/>
        </w:rPr>
        <w:t>（6）将清算报告报中国证监会备案并公告</w:t>
      </w:r>
      <w:r>
        <w:rPr>
          <w:rFonts w:hint="eastAsia"/>
          <w:bCs/>
          <w:sz w:val="24"/>
          <w:szCs w:val="24"/>
        </w:rPr>
        <w:t>；</w:t>
      </w:r>
    </w:p>
    <w:p w14:paraId="3DEA9D61">
      <w:pPr>
        <w:spacing w:line="360" w:lineRule="auto"/>
        <w:ind w:firstLine="480" w:firstLineChars="200"/>
        <w:rPr>
          <w:bCs/>
          <w:sz w:val="24"/>
          <w:szCs w:val="24"/>
        </w:rPr>
      </w:pPr>
      <w:r>
        <w:rPr>
          <w:bCs/>
          <w:sz w:val="24"/>
          <w:szCs w:val="24"/>
        </w:rPr>
        <w:t>（7）对基金</w:t>
      </w:r>
      <w:r>
        <w:rPr>
          <w:rFonts w:hint="eastAsia"/>
          <w:bCs/>
          <w:sz w:val="24"/>
          <w:szCs w:val="24"/>
        </w:rPr>
        <w:t>剩余</w:t>
      </w:r>
      <w:r>
        <w:rPr>
          <w:bCs/>
          <w:sz w:val="24"/>
          <w:szCs w:val="24"/>
        </w:rPr>
        <w:t>财产进行分配</w:t>
      </w:r>
      <w:r>
        <w:rPr>
          <w:rFonts w:hint="eastAsia"/>
          <w:bCs/>
          <w:sz w:val="24"/>
          <w:szCs w:val="24"/>
        </w:rPr>
        <w:t>。</w:t>
      </w:r>
    </w:p>
    <w:p w14:paraId="6CA47A3D">
      <w:pPr>
        <w:spacing w:line="360" w:lineRule="auto"/>
        <w:ind w:firstLine="480" w:firstLineChars="200"/>
        <w:rPr>
          <w:bCs/>
          <w:sz w:val="24"/>
          <w:szCs w:val="24"/>
        </w:rPr>
      </w:pPr>
      <w:r>
        <w:rPr>
          <w:bCs/>
          <w:sz w:val="24"/>
          <w:szCs w:val="24"/>
        </w:rPr>
        <w:t>5、基金财产清算的期限为</w:t>
      </w:r>
      <w:r>
        <w:rPr>
          <w:rFonts w:hint="eastAsia"/>
          <w:bCs/>
          <w:sz w:val="24"/>
          <w:szCs w:val="24"/>
        </w:rPr>
        <w:t>6</w:t>
      </w:r>
      <w:r>
        <w:rPr>
          <w:bCs/>
          <w:sz w:val="24"/>
          <w:szCs w:val="24"/>
        </w:rPr>
        <w:t>个月。</w:t>
      </w:r>
    </w:p>
    <w:p w14:paraId="7CF2547E">
      <w:pPr>
        <w:spacing w:line="360" w:lineRule="auto"/>
        <w:ind w:firstLine="480" w:firstLineChars="200"/>
        <w:rPr>
          <w:bCs/>
          <w:sz w:val="24"/>
          <w:szCs w:val="24"/>
        </w:rPr>
      </w:pPr>
      <w:r>
        <w:rPr>
          <w:rFonts w:hint="eastAsia"/>
          <w:bCs/>
          <w:sz w:val="24"/>
          <w:szCs w:val="24"/>
        </w:rPr>
        <w:t>（四）</w:t>
      </w:r>
      <w:r>
        <w:rPr>
          <w:bCs/>
          <w:sz w:val="24"/>
          <w:szCs w:val="24"/>
        </w:rPr>
        <w:t>清算费用</w:t>
      </w:r>
    </w:p>
    <w:p w14:paraId="77A059FC">
      <w:pPr>
        <w:spacing w:line="360" w:lineRule="auto"/>
        <w:ind w:firstLine="480" w:firstLineChars="200"/>
        <w:rPr>
          <w:bCs/>
          <w:sz w:val="24"/>
          <w:szCs w:val="24"/>
        </w:rPr>
      </w:pPr>
      <w:r>
        <w:rPr>
          <w:bCs/>
          <w:sz w:val="24"/>
          <w:szCs w:val="24"/>
        </w:rPr>
        <w:t>清算费用是指基金财产清算小组在进行基金清算过程中发生的所有合理费用，清算费用由基金财产清算小组优先从基金财产中支付。</w:t>
      </w:r>
    </w:p>
    <w:p w14:paraId="5DA90E42">
      <w:pPr>
        <w:spacing w:line="360" w:lineRule="auto"/>
        <w:ind w:firstLine="480" w:firstLineChars="200"/>
        <w:rPr>
          <w:bCs/>
          <w:sz w:val="24"/>
          <w:szCs w:val="24"/>
        </w:rPr>
      </w:pPr>
      <w:r>
        <w:rPr>
          <w:rFonts w:hint="eastAsia"/>
          <w:bCs/>
          <w:sz w:val="24"/>
          <w:szCs w:val="24"/>
        </w:rPr>
        <w:t>（五）</w:t>
      </w:r>
      <w:r>
        <w:rPr>
          <w:bCs/>
          <w:sz w:val="24"/>
          <w:szCs w:val="24"/>
        </w:rPr>
        <w:t>基金财产清算剩余资产的分配</w:t>
      </w:r>
    </w:p>
    <w:p w14:paraId="3994E19A">
      <w:pPr>
        <w:spacing w:line="360" w:lineRule="auto"/>
        <w:ind w:firstLine="480" w:firstLineChars="200"/>
        <w:rPr>
          <w:bCs/>
          <w:sz w:val="24"/>
          <w:szCs w:val="24"/>
        </w:rPr>
      </w:pPr>
      <w:r>
        <w:rPr>
          <w:bCs/>
          <w:sz w:val="24"/>
          <w:szCs w:val="24"/>
        </w:rPr>
        <w:t>依据基金财产清算的分配方案，将基金财产清算后的全部剩余资产扣除基金财产清算费用、交纳所欠税款并清偿基金债务后，按</w:t>
      </w:r>
      <w:r>
        <w:rPr>
          <w:rFonts w:hint="eastAsia"/>
          <w:bCs/>
          <w:sz w:val="24"/>
        </w:rPr>
        <w:t>各类</w:t>
      </w:r>
      <w:r>
        <w:rPr>
          <w:bCs/>
          <w:sz w:val="24"/>
          <w:szCs w:val="24"/>
        </w:rPr>
        <w:t>基金份额持有人持有的</w:t>
      </w:r>
      <w:r>
        <w:rPr>
          <w:rFonts w:hint="eastAsia" w:ascii="宋体" w:hAnsi="宋体"/>
          <w:sz w:val="24"/>
        </w:rPr>
        <w:t>相应类别的</w:t>
      </w:r>
      <w:r>
        <w:rPr>
          <w:bCs/>
          <w:sz w:val="24"/>
          <w:szCs w:val="24"/>
        </w:rPr>
        <w:t>基金份额比例进行分配。</w:t>
      </w:r>
    </w:p>
    <w:p w14:paraId="1F9FB2CE">
      <w:pPr>
        <w:spacing w:line="360" w:lineRule="auto"/>
        <w:ind w:firstLine="480" w:firstLineChars="200"/>
        <w:rPr>
          <w:bCs/>
          <w:sz w:val="24"/>
          <w:szCs w:val="24"/>
        </w:rPr>
      </w:pPr>
      <w:r>
        <w:rPr>
          <w:rFonts w:hint="eastAsia"/>
          <w:bCs/>
          <w:sz w:val="24"/>
          <w:szCs w:val="24"/>
        </w:rPr>
        <w:t>（六）</w:t>
      </w:r>
      <w:r>
        <w:rPr>
          <w:bCs/>
          <w:sz w:val="24"/>
          <w:szCs w:val="24"/>
        </w:rPr>
        <w:t>基金财产清算的公告</w:t>
      </w:r>
    </w:p>
    <w:p w14:paraId="4C9B44DA">
      <w:pPr>
        <w:spacing w:line="360" w:lineRule="auto"/>
        <w:ind w:firstLine="480" w:firstLineChars="200"/>
        <w:rPr>
          <w:bCs/>
          <w:sz w:val="24"/>
          <w:szCs w:val="24"/>
        </w:rPr>
      </w:pPr>
      <w:r>
        <w:rPr>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szCs w:val="24"/>
        </w:rPr>
        <w:t>5</w:t>
      </w:r>
      <w:r>
        <w:rPr>
          <w:bCs/>
          <w:sz w:val="24"/>
          <w:szCs w:val="24"/>
        </w:rPr>
        <w:t>个工作日内由基金财产清算小组进行公告。</w:t>
      </w:r>
    </w:p>
    <w:p w14:paraId="7BAD4BFD">
      <w:pPr>
        <w:spacing w:line="360" w:lineRule="auto"/>
        <w:ind w:firstLine="480" w:firstLineChars="200"/>
        <w:rPr>
          <w:bCs/>
          <w:sz w:val="24"/>
          <w:szCs w:val="24"/>
        </w:rPr>
      </w:pPr>
      <w:r>
        <w:rPr>
          <w:rFonts w:hint="eastAsia"/>
          <w:bCs/>
          <w:sz w:val="24"/>
          <w:szCs w:val="24"/>
        </w:rPr>
        <w:t>（七）</w:t>
      </w:r>
      <w:r>
        <w:rPr>
          <w:bCs/>
          <w:sz w:val="24"/>
          <w:szCs w:val="24"/>
        </w:rPr>
        <w:t>基金财产清算账册及文件的保存</w:t>
      </w:r>
    </w:p>
    <w:p w14:paraId="42491F39">
      <w:pPr>
        <w:spacing w:line="360" w:lineRule="auto"/>
        <w:ind w:firstLine="480" w:firstLineChars="200"/>
        <w:rPr>
          <w:bCs/>
          <w:sz w:val="24"/>
          <w:szCs w:val="24"/>
        </w:rPr>
      </w:pPr>
      <w:r>
        <w:rPr>
          <w:bCs/>
          <w:sz w:val="24"/>
          <w:szCs w:val="24"/>
        </w:rPr>
        <w:t>基金财产清算账册及有关文件由基金托管人保存</w:t>
      </w:r>
      <w:r>
        <w:rPr>
          <w:rFonts w:hint="eastAsia"/>
          <w:bCs/>
          <w:sz w:val="24"/>
          <w:szCs w:val="24"/>
        </w:rPr>
        <w:t>15</w:t>
      </w:r>
      <w:r>
        <w:rPr>
          <w:bCs/>
          <w:sz w:val="24"/>
          <w:szCs w:val="24"/>
        </w:rPr>
        <w:t>年以上。</w:t>
      </w:r>
    </w:p>
    <w:p w14:paraId="0A3FA05B">
      <w:pPr>
        <w:spacing w:line="360" w:lineRule="auto"/>
        <w:ind w:firstLine="480" w:firstLineChars="200"/>
        <w:rPr>
          <w:bCs/>
          <w:sz w:val="24"/>
          <w:szCs w:val="24"/>
        </w:rPr>
      </w:pPr>
      <w:r>
        <w:rPr>
          <w:rFonts w:hint="eastAsia"/>
          <w:bCs/>
          <w:sz w:val="24"/>
          <w:szCs w:val="24"/>
        </w:rPr>
        <w:t>八、争议解决方式</w:t>
      </w:r>
    </w:p>
    <w:p w14:paraId="45F783F2">
      <w:pPr>
        <w:spacing w:line="360" w:lineRule="auto"/>
        <w:ind w:firstLine="480" w:firstLineChars="200"/>
        <w:rPr>
          <w:bCs/>
          <w:sz w:val="24"/>
          <w:szCs w:val="24"/>
        </w:rPr>
      </w:pPr>
      <w:r>
        <w:rPr>
          <w:bCs/>
          <w:sz w:val="24"/>
          <w:szCs w:val="24"/>
        </w:rPr>
        <w:t>各方当事人同意，因《基金合同》而产生的或与《基金合同》有关的一切争议，如经友好协商未能解决的，应提交</w:t>
      </w:r>
      <w:r>
        <w:rPr>
          <w:rFonts w:hint="eastAsia" w:ascii="宋体" w:hAnsi="宋体"/>
          <w:sz w:val="24"/>
          <w:szCs w:val="24"/>
        </w:rPr>
        <w:t>中国国际经济贸易仲裁委员会根据该会当时有效的仲裁规则进行仲裁，仲裁地点为北京，仲裁裁决是终局性的并对各方当事人具有约束力，仲裁费</w:t>
      </w:r>
      <w:r>
        <w:rPr>
          <w:rFonts w:hint="eastAsia" w:ascii="宋体" w:hAnsi="宋体"/>
          <w:bCs/>
          <w:sz w:val="24"/>
          <w:szCs w:val="24"/>
        </w:rPr>
        <w:t>、律师费用</w:t>
      </w:r>
      <w:r>
        <w:rPr>
          <w:rFonts w:hint="eastAsia" w:ascii="宋体" w:hAnsi="宋体"/>
          <w:sz w:val="24"/>
          <w:szCs w:val="24"/>
        </w:rPr>
        <w:t>由败诉方承担。</w:t>
      </w:r>
    </w:p>
    <w:p w14:paraId="438DC04B">
      <w:pPr>
        <w:spacing w:line="360" w:lineRule="auto"/>
        <w:ind w:firstLine="480" w:firstLineChars="200"/>
        <w:rPr>
          <w:bCs/>
          <w:sz w:val="24"/>
          <w:szCs w:val="24"/>
        </w:rPr>
      </w:pPr>
      <w:r>
        <w:rPr>
          <w:rFonts w:hint="eastAsia"/>
          <w:bCs/>
          <w:sz w:val="24"/>
          <w:szCs w:val="24"/>
        </w:rPr>
        <w:t>争议处理期间，基金合同当事人应恪守各自的职责，继续忠实、勤勉、尽责地履行基金合同规定的义务，维护基金份额持有人的合法权益。</w:t>
      </w:r>
    </w:p>
    <w:p w14:paraId="3016CDDF">
      <w:pPr>
        <w:spacing w:line="360" w:lineRule="auto"/>
        <w:ind w:firstLine="480" w:firstLineChars="200"/>
        <w:rPr>
          <w:bCs/>
          <w:sz w:val="24"/>
          <w:szCs w:val="24"/>
        </w:rPr>
      </w:pPr>
      <w:r>
        <w:rPr>
          <w:bCs/>
          <w:sz w:val="24"/>
          <w:szCs w:val="24"/>
        </w:rPr>
        <w:t>《基金合同》受中国法律管辖。</w:t>
      </w:r>
    </w:p>
    <w:p w14:paraId="75E4A891">
      <w:pPr>
        <w:spacing w:line="360" w:lineRule="auto"/>
        <w:ind w:firstLine="480" w:firstLineChars="200"/>
        <w:rPr>
          <w:bCs/>
          <w:sz w:val="24"/>
          <w:szCs w:val="24"/>
        </w:rPr>
      </w:pPr>
      <w:r>
        <w:rPr>
          <w:rFonts w:hint="eastAsia"/>
          <w:bCs/>
          <w:sz w:val="24"/>
          <w:szCs w:val="24"/>
        </w:rPr>
        <w:t>九、基金合同存放地和投资者取得基金合同的方式</w:t>
      </w:r>
    </w:p>
    <w:p w14:paraId="6023CA98">
      <w:pPr>
        <w:spacing w:line="360" w:lineRule="auto"/>
        <w:ind w:firstLine="480" w:firstLineChars="200"/>
        <w:rPr>
          <w:bCs/>
          <w:sz w:val="24"/>
          <w:szCs w:val="24"/>
        </w:rPr>
      </w:pPr>
      <w:r>
        <w:rPr>
          <w:bCs/>
          <w:sz w:val="24"/>
          <w:szCs w:val="24"/>
        </w:rPr>
        <w:t>《基金合同》可印制成册，供投资者在基金管理人、基金托管人、销售机构的办公场所和营业场所查阅。</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3707">
    <w:pPr>
      <w:pStyle w:val="13"/>
      <w:framePr w:wrap="around" w:vAnchor="text" w:hAnchor="margin" w:xAlign="center" w:yAlign="top"/>
    </w:pPr>
    <w:r>
      <w:rPr>
        <w:rFonts w:hint="eastAsia"/>
      </w:rPr>
      <w:fldChar w:fldCharType="begin"/>
    </w:r>
    <w:r>
      <w:rPr>
        <w:rStyle w:val="22"/>
        <w:rFonts w:hint="eastAsia"/>
      </w:rPr>
      <w:instrText xml:space="preserve"> PAGE  </w:instrText>
    </w:r>
    <w:r>
      <w:rPr>
        <w:rFonts w:hint="eastAsia"/>
      </w:rPr>
      <w:fldChar w:fldCharType="separate"/>
    </w:r>
    <w:r>
      <w:rPr>
        <w:rStyle w:val="22"/>
      </w:rPr>
      <w:t>18</w:t>
    </w:r>
    <w:r>
      <w:rPr>
        <w:rFonts w:hint="eastAsia"/>
      </w:rPr>
      <w:fldChar w:fldCharType="end"/>
    </w:r>
  </w:p>
  <w:p w14:paraId="1AF7BCD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42B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31A3">
    <w:pPr>
      <w:pStyle w:val="13"/>
    </w:pPr>
  </w:p>
  <w:p w14:paraId="6E080A63">
    <w:pPr>
      <w:pStyle w:val="13"/>
    </w:pPr>
  </w:p>
  <w:p w14:paraId="45835F7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237">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F96E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022D">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0596">
    <w:pPr>
      <w:pStyle w:val="14"/>
      <w:pBdr>
        <w:bottom w:val="thickThinLargeGap" w:color="auto" w:sz="24" w:space="10"/>
      </w:pBdr>
      <w:tabs>
        <w:tab w:val="right" w:pos="8280"/>
      </w:tabs>
      <w:wordWrap w:val="0"/>
      <w:adjustRightInd w:val="0"/>
      <w:jc w:val="both"/>
    </w:pPr>
    <w:r>
      <w:rPr>
        <w:rFonts w:hint="eastAsia"/>
        <w:color w:val="000000"/>
      </w:rPr>
      <w:t>华商双翼平衡混合型</w:t>
    </w:r>
    <w:r>
      <w:rPr>
        <w:rFonts w:hint="eastAsia"/>
      </w:rPr>
      <w:t>证券投资基金                                                 基金合同（更新）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C"/>
    <w:multiLevelType w:val="singleLevel"/>
    <w:tmpl w:val="0000000C"/>
    <w:lvl w:ilvl="0" w:tentative="0">
      <w:start w:val="1"/>
      <w:numFmt w:val="bullet"/>
      <w:pStyle w:val="37"/>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47"/>
    <w:rsid w:val="000058F8"/>
    <w:rsid w:val="0000625B"/>
    <w:rsid w:val="00013069"/>
    <w:rsid w:val="00014E0E"/>
    <w:rsid w:val="00015EB9"/>
    <w:rsid w:val="000164C5"/>
    <w:rsid w:val="00033B77"/>
    <w:rsid w:val="000425A9"/>
    <w:rsid w:val="000471B3"/>
    <w:rsid w:val="00056566"/>
    <w:rsid w:val="00056945"/>
    <w:rsid w:val="00066268"/>
    <w:rsid w:val="000677DB"/>
    <w:rsid w:val="00070DC7"/>
    <w:rsid w:val="000754EB"/>
    <w:rsid w:val="00082BCB"/>
    <w:rsid w:val="0008359E"/>
    <w:rsid w:val="00084568"/>
    <w:rsid w:val="00084824"/>
    <w:rsid w:val="00085DA1"/>
    <w:rsid w:val="00090152"/>
    <w:rsid w:val="00092AEB"/>
    <w:rsid w:val="00096E91"/>
    <w:rsid w:val="000A08DC"/>
    <w:rsid w:val="000A5FFC"/>
    <w:rsid w:val="000B16B6"/>
    <w:rsid w:val="000B43EC"/>
    <w:rsid w:val="000C3A38"/>
    <w:rsid w:val="000C503D"/>
    <w:rsid w:val="000D1513"/>
    <w:rsid w:val="000D2217"/>
    <w:rsid w:val="000D305F"/>
    <w:rsid w:val="000D68E8"/>
    <w:rsid w:val="000E1B71"/>
    <w:rsid w:val="000E2D83"/>
    <w:rsid w:val="000E4AC4"/>
    <w:rsid w:val="000E504D"/>
    <w:rsid w:val="000F4D5D"/>
    <w:rsid w:val="000F6A4D"/>
    <w:rsid w:val="000F74A2"/>
    <w:rsid w:val="00105ACA"/>
    <w:rsid w:val="00113ACE"/>
    <w:rsid w:val="00116A75"/>
    <w:rsid w:val="00117C97"/>
    <w:rsid w:val="001215C5"/>
    <w:rsid w:val="00121FD7"/>
    <w:rsid w:val="00124B43"/>
    <w:rsid w:val="00126909"/>
    <w:rsid w:val="00132A45"/>
    <w:rsid w:val="00132F6E"/>
    <w:rsid w:val="00132FBF"/>
    <w:rsid w:val="001370B9"/>
    <w:rsid w:val="001459E6"/>
    <w:rsid w:val="00150EE4"/>
    <w:rsid w:val="00155EBA"/>
    <w:rsid w:val="00172A27"/>
    <w:rsid w:val="00175633"/>
    <w:rsid w:val="00176F42"/>
    <w:rsid w:val="00181A4F"/>
    <w:rsid w:val="00184C68"/>
    <w:rsid w:val="0019280B"/>
    <w:rsid w:val="001A30B0"/>
    <w:rsid w:val="001A37C9"/>
    <w:rsid w:val="001B31B8"/>
    <w:rsid w:val="001B41C1"/>
    <w:rsid w:val="001C5471"/>
    <w:rsid w:val="001C621F"/>
    <w:rsid w:val="001D4C3B"/>
    <w:rsid w:val="001D4E57"/>
    <w:rsid w:val="001D6950"/>
    <w:rsid w:val="001D6D51"/>
    <w:rsid w:val="001E2191"/>
    <w:rsid w:val="001E7BBF"/>
    <w:rsid w:val="001F27E6"/>
    <w:rsid w:val="0020231A"/>
    <w:rsid w:val="00202F36"/>
    <w:rsid w:val="00204A1D"/>
    <w:rsid w:val="002065B7"/>
    <w:rsid w:val="00206844"/>
    <w:rsid w:val="002076ED"/>
    <w:rsid w:val="0021539F"/>
    <w:rsid w:val="00222578"/>
    <w:rsid w:val="002225C8"/>
    <w:rsid w:val="002279AB"/>
    <w:rsid w:val="00234AB8"/>
    <w:rsid w:val="00234CBD"/>
    <w:rsid w:val="00236420"/>
    <w:rsid w:val="00240FAE"/>
    <w:rsid w:val="0024239A"/>
    <w:rsid w:val="00250E00"/>
    <w:rsid w:val="002547EF"/>
    <w:rsid w:val="00261D7A"/>
    <w:rsid w:val="00276BDC"/>
    <w:rsid w:val="00282AF4"/>
    <w:rsid w:val="00286B24"/>
    <w:rsid w:val="0029621F"/>
    <w:rsid w:val="002A33E9"/>
    <w:rsid w:val="002A5D4D"/>
    <w:rsid w:val="002A65BF"/>
    <w:rsid w:val="002A65F2"/>
    <w:rsid w:val="002A758B"/>
    <w:rsid w:val="002B280C"/>
    <w:rsid w:val="002B772B"/>
    <w:rsid w:val="002C430F"/>
    <w:rsid w:val="002C4D4A"/>
    <w:rsid w:val="002C6531"/>
    <w:rsid w:val="002D52AD"/>
    <w:rsid w:val="002D7715"/>
    <w:rsid w:val="002E0E2D"/>
    <w:rsid w:val="002E3577"/>
    <w:rsid w:val="00302177"/>
    <w:rsid w:val="00303297"/>
    <w:rsid w:val="00305D20"/>
    <w:rsid w:val="003070EB"/>
    <w:rsid w:val="003106EE"/>
    <w:rsid w:val="0031279B"/>
    <w:rsid w:val="00325CC6"/>
    <w:rsid w:val="00326329"/>
    <w:rsid w:val="00330C80"/>
    <w:rsid w:val="003359B5"/>
    <w:rsid w:val="00341DCE"/>
    <w:rsid w:val="00342EE7"/>
    <w:rsid w:val="00343CA2"/>
    <w:rsid w:val="00343D25"/>
    <w:rsid w:val="003519BC"/>
    <w:rsid w:val="00354619"/>
    <w:rsid w:val="00356038"/>
    <w:rsid w:val="003602FE"/>
    <w:rsid w:val="00360B95"/>
    <w:rsid w:val="00376D27"/>
    <w:rsid w:val="00377D7C"/>
    <w:rsid w:val="00383990"/>
    <w:rsid w:val="00383E14"/>
    <w:rsid w:val="0039663A"/>
    <w:rsid w:val="003B5CA7"/>
    <w:rsid w:val="003C45DE"/>
    <w:rsid w:val="003D357B"/>
    <w:rsid w:val="003D7FA3"/>
    <w:rsid w:val="003F3AA3"/>
    <w:rsid w:val="003F55FE"/>
    <w:rsid w:val="003F66FF"/>
    <w:rsid w:val="00405425"/>
    <w:rsid w:val="00413ACA"/>
    <w:rsid w:val="0041533A"/>
    <w:rsid w:val="00427FC7"/>
    <w:rsid w:val="0044647E"/>
    <w:rsid w:val="0044740F"/>
    <w:rsid w:val="00447BF7"/>
    <w:rsid w:val="00450600"/>
    <w:rsid w:val="004533FA"/>
    <w:rsid w:val="00456FF4"/>
    <w:rsid w:val="004574F2"/>
    <w:rsid w:val="004657B9"/>
    <w:rsid w:val="00465877"/>
    <w:rsid w:val="00467C55"/>
    <w:rsid w:val="004717DB"/>
    <w:rsid w:val="00473E7A"/>
    <w:rsid w:val="0047540C"/>
    <w:rsid w:val="0048170D"/>
    <w:rsid w:val="00483E4A"/>
    <w:rsid w:val="00490726"/>
    <w:rsid w:val="004909C3"/>
    <w:rsid w:val="00494E49"/>
    <w:rsid w:val="00494FC6"/>
    <w:rsid w:val="00496636"/>
    <w:rsid w:val="004A120A"/>
    <w:rsid w:val="004A3745"/>
    <w:rsid w:val="004A79BC"/>
    <w:rsid w:val="004B3EFB"/>
    <w:rsid w:val="004B6980"/>
    <w:rsid w:val="004C3EC2"/>
    <w:rsid w:val="004D0EDC"/>
    <w:rsid w:val="004D7975"/>
    <w:rsid w:val="004E5E52"/>
    <w:rsid w:val="004F16E4"/>
    <w:rsid w:val="004F5047"/>
    <w:rsid w:val="004F54CF"/>
    <w:rsid w:val="004F7383"/>
    <w:rsid w:val="004F7721"/>
    <w:rsid w:val="005009CF"/>
    <w:rsid w:val="005049BD"/>
    <w:rsid w:val="005138A2"/>
    <w:rsid w:val="0052270E"/>
    <w:rsid w:val="005361A8"/>
    <w:rsid w:val="00541123"/>
    <w:rsid w:val="005415AF"/>
    <w:rsid w:val="005443AC"/>
    <w:rsid w:val="00552C29"/>
    <w:rsid w:val="00552EFE"/>
    <w:rsid w:val="005577C0"/>
    <w:rsid w:val="00561D23"/>
    <w:rsid w:val="00563B9D"/>
    <w:rsid w:val="005806F9"/>
    <w:rsid w:val="0058378A"/>
    <w:rsid w:val="00583A9E"/>
    <w:rsid w:val="0059045F"/>
    <w:rsid w:val="00592FEC"/>
    <w:rsid w:val="005B2558"/>
    <w:rsid w:val="005B6CF3"/>
    <w:rsid w:val="005C2B33"/>
    <w:rsid w:val="005C7358"/>
    <w:rsid w:val="005D13B5"/>
    <w:rsid w:val="005D679A"/>
    <w:rsid w:val="005E0F1B"/>
    <w:rsid w:val="005E2F0B"/>
    <w:rsid w:val="005E61F0"/>
    <w:rsid w:val="006007FA"/>
    <w:rsid w:val="00600ED4"/>
    <w:rsid w:val="0060436B"/>
    <w:rsid w:val="00605A4D"/>
    <w:rsid w:val="00607156"/>
    <w:rsid w:val="0061007D"/>
    <w:rsid w:val="00610B4B"/>
    <w:rsid w:val="006215EE"/>
    <w:rsid w:val="00626321"/>
    <w:rsid w:val="006271E0"/>
    <w:rsid w:val="00630037"/>
    <w:rsid w:val="006350DB"/>
    <w:rsid w:val="00655A8C"/>
    <w:rsid w:val="00657BAB"/>
    <w:rsid w:val="00663C30"/>
    <w:rsid w:val="006650A7"/>
    <w:rsid w:val="0066588F"/>
    <w:rsid w:val="00672622"/>
    <w:rsid w:val="00673EE8"/>
    <w:rsid w:val="00677C95"/>
    <w:rsid w:val="0068209E"/>
    <w:rsid w:val="00692365"/>
    <w:rsid w:val="00694B59"/>
    <w:rsid w:val="006A3317"/>
    <w:rsid w:val="006B53D8"/>
    <w:rsid w:val="006C05F6"/>
    <w:rsid w:val="006C3A91"/>
    <w:rsid w:val="006D2452"/>
    <w:rsid w:val="006D5EFF"/>
    <w:rsid w:val="006E0A08"/>
    <w:rsid w:val="006F0A63"/>
    <w:rsid w:val="006F3D73"/>
    <w:rsid w:val="006F4143"/>
    <w:rsid w:val="00706A96"/>
    <w:rsid w:val="0071091E"/>
    <w:rsid w:val="00713D38"/>
    <w:rsid w:val="00721F82"/>
    <w:rsid w:val="007240D3"/>
    <w:rsid w:val="0072770C"/>
    <w:rsid w:val="00727EF3"/>
    <w:rsid w:val="00733553"/>
    <w:rsid w:val="00733B4F"/>
    <w:rsid w:val="00742556"/>
    <w:rsid w:val="007459E5"/>
    <w:rsid w:val="00764834"/>
    <w:rsid w:val="00775358"/>
    <w:rsid w:val="00776E4F"/>
    <w:rsid w:val="0078195E"/>
    <w:rsid w:val="00787B31"/>
    <w:rsid w:val="007925D9"/>
    <w:rsid w:val="00797B16"/>
    <w:rsid w:val="007A5058"/>
    <w:rsid w:val="007A6A22"/>
    <w:rsid w:val="007C7AB7"/>
    <w:rsid w:val="007E0523"/>
    <w:rsid w:val="007E3DD3"/>
    <w:rsid w:val="007F2C2F"/>
    <w:rsid w:val="007F734E"/>
    <w:rsid w:val="007F7FA8"/>
    <w:rsid w:val="0080274C"/>
    <w:rsid w:val="00805797"/>
    <w:rsid w:val="00812988"/>
    <w:rsid w:val="008157F9"/>
    <w:rsid w:val="00822CB4"/>
    <w:rsid w:val="00833A02"/>
    <w:rsid w:val="008418B1"/>
    <w:rsid w:val="00841910"/>
    <w:rsid w:val="008509B0"/>
    <w:rsid w:val="00853350"/>
    <w:rsid w:val="00863352"/>
    <w:rsid w:val="00864FAB"/>
    <w:rsid w:val="00866F46"/>
    <w:rsid w:val="00867F58"/>
    <w:rsid w:val="0089278C"/>
    <w:rsid w:val="00893CBE"/>
    <w:rsid w:val="008A4C6B"/>
    <w:rsid w:val="008A70A7"/>
    <w:rsid w:val="008C1416"/>
    <w:rsid w:val="008C5921"/>
    <w:rsid w:val="008D010F"/>
    <w:rsid w:val="008D5E82"/>
    <w:rsid w:val="008F0935"/>
    <w:rsid w:val="008F46D2"/>
    <w:rsid w:val="008F5DE0"/>
    <w:rsid w:val="00905BD4"/>
    <w:rsid w:val="009127DC"/>
    <w:rsid w:val="009135D2"/>
    <w:rsid w:val="009143D3"/>
    <w:rsid w:val="00914694"/>
    <w:rsid w:val="00924028"/>
    <w:rsid w:val="00930116"/>
    <w:rsid w:val="00932EFE"/>
    <w:rsid w:val="00945602"/>
    <w:rsid w:val="009504A4"/>
    <w:rsid w:val="00951451"/>
    <w:rsid w:val="0095751A"/>
    <w:rsid w:val="00961903"/>
    <w:rsid w:val="00964EDA"/>
    <w:rsid w:val="00967368"/>
    <w:rsid w:val="009808D5"/>
    <w:rsid w:val="00980997"/>
    <w:rsid w:val="0098406B"/>
    <w:rsid w:val="0099142F"/>
    <w:rsid w:val="00995E98"/>
    <w:rsid w:val="009A37B2"/>
    <w:rsid w:val="009B0754"/>
    <w:rsid w:val="009B2A7A"/>
    <w:rsid w:val="009B7DF9"/>
    <w:rsid w:val="009C0D05"/>
    <w:rsid w:val="009D15D7"/>
    <w:rsid w:val="009F1DE4"/>
    <w:rsid w:val="009F4101"/>
    <w:rsid w:val="009F44B5"/>
    <w:rsid w:val="009F54C4"/>
    <w:rsid w:val="00A01258"/>
    <w:rsid w:val="00A0541C"/>
    <w:rsid w:val="00A11564"/>
    <w:rsid w:val="00A1327B"/>
    <w:rsid w:val="00A24A72"/>
    <w:rsid w:val="00A24D7E"/>
    <w:rsid w:val="00A27708"/>
    <w:rsid w:val="00A35A5C"/>
    <w:rsid w:val="00A42605"/>
    <w:rsid w:val="00A45BFF"/>
    <w:rsid w:val="00A64A9D"/>
    <w:rsid w:val="00A65C29"/>
    <w:rsid w:val="00A70E18"/>
    <w:rsid w:val="00A738A8"/>
    <w:rsid w:val="00A770D8"/>
    <w:rsid w:val="00A822F1"/>
    <w:rsid w:val="00A8496F"/>
    <w:rsid w:val="00A86B84"/>
    <w:rsid w:val="00A86EF4"/>
    <w:rsid w:val="00A8730F"/>
    <w:rsid w:val="00A8781C"/>
    <w:rsid w:val="00AA5354"/>
    <w:rsid w:val="00AB3EB3"/>
    <w:rsid w:val="00AC0231"/>
    <w:rsid w:val="00AC45EB"/>
    <w:rsid w:val="00AE2D09"/>
    <w:rsid w:val="00AE4B7D"/>
    <w:rsid w:val="00AE6836"/>
    <w:rsid w:val="00AE6FD7"/>
    <w:rsid w:val="00B02C25"/>
    <w:rsid w:val="00B135CB"/>
    <w:rsid w:val="00B1471E"/>
    <w:rsid w:val="00B14F2B"/>
    <w:rsid w:val="00B2625A"/>
    <w:rsid w:val="00B274FA"/>
    <w:rsid w:val="00B33195"/>
    <w:rsid w:val="00B40564"/>
    <w:rsid w:val="00B44D74"/>
    <w:rsid w:val="00B47291"/>
    <w:rsid w:val="00B54B5C"/>
    <w:rsid w:val="00B56255"/>
    <w:rsid w:val="00B63C31"/>
    <w:rsid w:val="00B735E0"/>
    <w:rsid w:val="00B81807"/>
    <w:rsid w:val="00B822ED"/>
    <w:rsid w:val="00B82F63"/>
    <w:rsid w:val="00B873EE"/>
    <w:rsid w:val="00BA49F9"/>
    <w:rsid w:val="00BB571E"/>
    <w:rsid w:val="00BC1F77"/>
    <w:rsid w:val="00BC7B12"/>
    <w:rsid w:val="00BD3B8E"/>
    <w:rsid w:val="00BD50D9"/>
    <w:rsid w:val="00BE59AE"/>
    <w:rsid w:val="00BE6A62"/>
    <w:rsid w:val="00BE78F0"/>
    <w:rsid w:val="00BF28C8"/>
    <w:rsid w:val="00C046C1"/>
    <w:rsid w:val="00C04D5F"/>
    <w:rsid w:val="00C12B15"/>
    <w:rsid w:val="00C146EF"/>
    <w:rsid w:val="00C24C19"/>
    <w:rsid w:val="00C2559B"/>
    <w:rsid w:val="00C35664"/>
    <w:rsid w:val="00C52DE8"/>
    <w:rsid w:val="00C530E7"/>
    <w:rsid w:val="00C56B46"/>
    <w:rsid w:val="00C64714"/>
    <w:rsid w:val="00C773AE"/>
    <w:rsid w:val="00C872D8"/>
    <w:rsid w:val="00C971E4"/>
    <w:rsid w:val="00C97701"/>
    <w:rsid w:val="00CA1FAF"/>
    <w:rsid w:val="00CA246B"/>
    <w:rsid w:val="00CA3FF7"/>
    <w:rsid w:val="00CB264E"/>
    <w:rsid w:val="00CB7C2E"/>
    <w:rsid w:val="00CC3C19"/>
    <w:rsid w:val="00CF0F2A"/>
    <w:rsid w:val="00D05E33"/>
    <w:rsid w:val="00D10E91"/>
    <w:rsid w:val="00D13921"/>
    <w:rsid w:val="00D1690B"/>
    <w:rsid w:val="00D16E7D"/>
    <w:rsid w:val="00D249FE"/>
    <w:rsid w:val="00D41C36"/>
    <w:rsid w:val="00D47879"/>
    <w:rsid w:val="00D5568E"/>
    <w:rsid w:val="00D61AE7"/>
    <w:rsid w:val="00D77D80"/>
    <w:rsid w:val="00D842AF"/>
    <w:rsid w:val="00D87EF8"/>
    <w:rsid w:val="00D95D7A"/>
    <w:rsid w:val="00DA08FE"/>
    <w:rsid w:val="00DA33C9"/>
    <w:rsid w:val="00DA5450"/>
    <w:rsid w:val="00DA7FB6"/>
    <w:rsid w:val="00DB05C3"/>
    <w:rsid w:val="00DB21A0"/>
    <w:rsid w:val="00DC038B"/>
    <w:rsid w:val="00DC2618"/>
    <w:rsid w:val="00DC288B"/>
    <w:rsid w:val="00DC70E5"/>
    <w:rsid w:val="00DD2372"/>
    <w:rsid w:val="00DD4D3F"/>
    <w:rsid w:val="00DF189E"/>
    <w:rsid w:val="00DF42E1"/>
    <w:rsid w:val="00E007C7"/>
    <w:rsid w:val="00E03B1D"/>
    <w:rsid w:val="00E169ED"/>
    <w:rsid w:val="00E23F6C"/>
    <w:rsid w:val="00E3268F"/>
    <w:rsid w:val="00E361AF"/>
    <w:rsid w:val="00E4074A"/>
    <w:rsid w:val="00E44B2A"/>
    <w:rsid w:val="00E50FCE"/>
    <w:rsid w:val="00E560B6"/>
    <w:rsid w:val="00E56354"/>
    <w:rsid w:val="00E56F7F"/>
    <w:rsid w:val="00E805AB"/>
    <w:rsid w:val="00E905FF"/>
    <w:rsid w:val="00EA21AB"/>
    <w:rsid w:val="00EA7555"/>
    <w:rsid w:val="00EC5D41"/>
    <w:rsid w:val="00EC63A2"/>
    <w:rsid w:val="00EC74FE"/>
    <w:rsid w:val="00EE03FC"/>
    <w:rsid w:val="00EE523D"/>
    <w:rsid w:val="00EF0652"/>
    <w:rsid w:val="00EF5DC2"/>
    <w:rsid w:val="00EF6A44"/>
    <w:rsid w:val="00EF7BD3"/>
    <w:rsid w:val="00F03349"/>
    <w:rsid w:val="00F06C7F"/>
    <w:rsid w:val="00F07399"/>
    <w:rsid w:val="00F30171"/>
    <w:rsid w:val="00F32D80"/>
    <w:rsid w:val="00F56E02"/>
    <w:rsid w:val="00F57D43"/>
    <w:rsid w:val="00F62415"/>
    <w:rsid w:val="00F76BDE"/>
    <w:rsid w:val="00F81698"/>
    <w:rsid w:val="00FA0DF4"/>
    <w:rsid w:val="00FB1E2F"/>
    <w:rsid w:val="00FB20B8"/>
    <w:rsid w:val="00FC048F"/>
    <w:rsid w:val="00FC5971"/>
    <w:rsid w:val="00FD1954"/>
    <w:rsid w:val="00FF527A"/>
    <w:rsid w:val="03E81D23"/>
    <w:rsid w:val="08437B51"/>
    <w:rsid w:val="0A977EBB"/>
    <w:rsid w:val="200916C5"/>
    <w:rsid w:val="21880975"/>
    <w:rsid w:val="3B6832C0"/>
    <w:rsid w:val="5BD539D5"/>
    <w:rsid w:val="5EAF2F8C"/>
    <w:rsid w:val="6ACF17CB"/>
    <w:rsid w:val="783C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5"/>
    <w:qFormat/>
    <w:uiPriority w:val="0"/>
    <w:pPr>
      <w:jc w:val="left"/>
    </w:pPr>
  </w:style>
  <w:style w:type="paragraph" w:styleId="8">
    <w:name w:val="Body Text"/>
    <w:basedOn w:val="1"/>
    <w:link w:val="26"/>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Title"/>
    <w:basedOn w:val="1"/>
    <w:next w:val="1"/>
    <w:link w:val="30"/>
    <w:qFormat/>
    <w:uiPriority w:val="0"/>
    <w:pPr>
      <w:spacing w:before="240" w:after="60"/>
      <w:jc w:val="center"/>
      <w:outlineLvl w:val="0"/>
    </w:pPr>
    <w:rPr>
      <w:rFonts w:ascii="Cambria" w:hAnsi="Cambria"/>
      <w:b/>
      <w:sz w:val="32"/>
    </w:rPr>
  </w:style>
  <w:style w:type="paragraph" w:styleId="19">
    <w:name w:val="annotation subject"/>
    <w:basedOn w:val="7"/>
    <w:next w:val="7"/>
    <w:qFormat/>
    <w:uiPriority w:val="0"/>
    <w:rPr>
      <w:b/>
    </w:r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0"/>
    <w:rPr>
      <w:sz w:val="21"/>
    </w:rPr>
  </w:style>
  <w:style w:type="character" w:styleId="25">
    <w:name w:val="footnote reference"/>
    <w:qFormat/>
    <w:uiPriority w:val="0"/>
    <w:rPr>
      <w:vertAlign w:val="superscript"/>
    </w:rPr>
  </w:style>
  <w:style w:type="character" w:customStyle="1" w:styleId="26">
    <w:name w:val="正文文本 字符"/>
    <w:link w:val="8"/>
    <w:qFormat/>
    <w:uiPriority w:val="0"/>
    <w:rPr>
      <w:rFonts w:ascii="宋体"/>
      <w:kern w:val="0"/>
    </w:rPr>
  </w:style>
  <w:style w:type="character" w:customStyle="1" w:styleId="27">
    <w:name w:val="read"/>
    <w:basedOn w:val="21"/>
    <w:qFormat/>
    <w:uiPriority w:val="0"/>
  </w:style>
  <w:style w:type="character" w:customStyle="1" w:styleId="28">
    <w:name w:val="unnamed11"/>
    <w:qFormat/>
    <w:uiPriority w:val="0"/>
    <w:rPr>
      <w:rFonts w:hint="eastAsia" w:ascii="宋体" w:hAnsi="宋体" w:eastAsia="宋体"/>
      <w:sz w:val="18"/>
    </w:rPr>
  </w:style>
  <w:style w:type="character" w:customStyle="1" w:styleId="29">
    <w:name w:val="页眉 字符"/>
    <w:link w:val="14"/>
    <w:qFormat/>
    <w:uiPriority w:val="0"/>
    <w:rPr>
      <w:rFonts w:eastAsia="宋体"/>
      <w:kern w:val="2"/>
      <w:sz w:val="18"/>
      <w:lang w:val="en-US" w:eastAsia="zh-CN"/>
    </w:rPr>
  </w:style>
  <w:style w:type="character" w:customStyle="1" w:styleId="30">
    <w:name w:val="标题 字符"/>
    <w:link w:val="18"/>
    <w:qFormat/>
    <w:uiPriority w:val="0"/>
    <w:rPr>
      <w:rFonts w:ascii="Cambria" w:hAnsi="Cambria"/>
      <w:b/>
      <w:kern w:val="2"/>
      <w:sz w:val="32"/>
    </w:rPr>
  </w:style>
  <w:style w:type="paragraph" w:customStyle="1" w:styleId="31">
    <w:name w:val="Char Char1"/>
    <w:basedOn w:val="1"/>
    <w:qFormat/>
    <w:uiPriority w:val="0"/>
  </w:style>
  <w:style w:type="paragraph" w:customStyle="1" w:styleId="32">
    <w:name w:val="Char"/>
    <w:basedOn w:val="1"/>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正文所"/>
    <w:basedOn w:val="1"/>
    <w:qFormat/>
    <w:uiPriority w:val="0"/>
    <w:pPr>
      <w:spacing w:line="360" w:lineRule="auto"/>
      <w:ind w:firstLine="420" w:firstLineChars="200"/>
    </w:pPr>
    <w:rPr>
      <w:rFonts w:ascii="宋体"/>
    </w:rPr>
  </w:style>
  <w:style w:type="paragraph" w:customStyle="1" w:styleId="35">
    <w:name w:val="正文正文"/>
    <w:basedOn w:val="1"/>
    <w:qFormat/>
    <w:uiPriority w:val="0"/>
    <w:pPr>
      <w:spacing w:afterLines="25" w:line="360" w:lineRule="auto"/>
      <w:ind w:firstLine="200" w:firstLineChars="200"/>
    </w:pPr>
    <w:rPr>
      <w:sz w:val="24"/>
    </w:rPr>
  </w:style>
  <w:style w:type="paragraph" w:customStyle="1" w:styleId="36">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37">
    <w:name w:val="List_bullet"/>
    <w:basedOn w:val="1"/>
    <w:qFormat/>
    <w:uiPriority w:val="0"/>
    <w:pPr>
      <w:widowControl/>
      <w:numPr>
        <w:ilvl w:val="0"/>
        <w:numId w:val="1"/>
      </w:numPr>
      <w:jc w:val="left"/>
    </w:pPr>
    <w:rPr>
      <w:kern w:val="0"/>
      <w:sz w:val="24"/>
    </w:rPr>
  </w:style>
  <w:style w:type="paragraph" w:customStyle="1" w:styleId="38">
    <w:name w:val="Char Char"/>
    <w:basedOn w:val="1"/>
    <w:qFormat/>
    <w:uiPriority w:val="0"/>
  </w:style>
  <w:style w:type="paragraph" w:customStyle="1" w:styleId="39">
    <w:name w:val="unnamed1"/>
    <w:basedOn w:val="1"/>
    <w:qFormat/>
    <w:uiPriority w:val="0"/>
    <w:pPr>
      <w:spacing w:before="60" w:after="60"/>
      <w:ind w:left="15" w:right="15"/>
    </w:pPr>
    <w:rPr>
      <w:rFonts w:hint="eastAsia" w:ascii="宋体" w:hAnsi="宋体"/>
      <w:color w:val="000000"/>
      <w:sz w:val="18"/>
      <w:szCs w:val="18"/>
    </w:rPr>
  </w:style>
  <w:style w:type="paragraph" w:customStyle="1" w:styleId="40">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Char1"/>
    <w:basedOn w:val="1"/>
    <w:qFormat/>
    <w:uiPriority w:val="0"/>
  </w:style>
  <w:style w:type="paragraph" w:customStyle="1" w:styleId="42">
    <w:name w:val="Char Char Char"/>
    <w:basedOn w:val="1"/>
    <w:qFormat/>
    <w:uiPriority w:val="0"/>
  </w:style>
  <w:style w:type="paragraph" w:customStyle="1" w:styleId="43">
    <w:name w:val="Char Char Char Char"/>
    <w:basedOn w:val="1"/>
    <w:qFormat/>
    <w:uiPriority w:val="0"/>
    <w:pPr>
      <w:tabs>
        <w:tab w:val="left" w:pos="360"/>
      </w:tabs>
    </w:pPr>
  </w:style>
  <w:style w:type="paragraph" w:customStyle="1" w:styleId="44">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45">
    <w:name w:val="批注文字 字符"/>
    <w:link w:val="7"/>
    <w:qFormat/>
    <w:uiPriority w:val="0"/>
    <w:rPr>
      <w:kern w:val="2"/>
      <w:sz w:val="21"/>
    </w:rPr>
  </w:style>
  <w:style w:type="paragraph" w:customStyle="1" w:styleId="4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7">
    <w:name w:val="fontstyle01"/>
    <w:qFormat/>
    <w:uiPriority w:val="0"/>
    <w:rPr>
      <w:rFonts w:hint="eastAsia" w:ascii="宋体" w:hAnsi="宋体" w:eastAsia="宋体" w:cs="宋体"/>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99D-FF18-44B4-B42A-CD52EF5BB2D7}">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5653</Words>
  <Characters>5767</Characters>
  <Lines>485</Lines>
  <Paragraphs>136</Paragraphs>
  <TotalTime>13</TotalTime>
  <ScaleCrop>false</ScaleCrop>
  <LinksUpToDate>false</LinksUpToDate>
  <CharactersWithSpaces>5866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源泰</dc:creator>
  <cp:lastModifiedBy>孙畅</cp:lastModifiedBy>
  <cp:revision>7</cp:revision>
  <cp:lastPrinted>2023-06-15T03:31:00Z</cp:lastPrinted>
  <dcterms:created xsi:type="dcterms:W3CDTF">2023-05-17T08:17:00Z</dcterms:created>
  <dcterms:modified xsi:type="dcterms:W3CDTF">2025-02-05T03:08:31Z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eyJoZGlkIjoiYjQ5NmNlYTM2NDBhYTM2YTdlYzA0Y2E5ZDkxMTg4MDUiLCJ1c2VySWQiOiI0OTA5OTM5NzAifQ==</vt:lpwstr>
  </property>
  <property fmtid="{D5CDD505-2E9C-101B-9397-08002B2CF9AE}" pid="4" name="ICV">
    <vt:lpwstr>5B7419DA3189482A94CDAFA50867BC5B_12</vt:lpwstr>
  </property>
</Properties>
</file>