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06EB">
      <w:pPr>
        <w:adjustRightInd w:val="0"/>
        <w:snapToGrid w:val="0"/>
        <w:jc w:val="center"/>
        <w:rPr>
          <w:rFonts w:ascii="彩虹粗仿宋" w:hAnsi="宋体" w:eastAsia="彩虹粗仿宋" w:cs="Arial"/>
          <w:sz w:val="24"/>
        </w:rPr>
      </w:pPr>
    </w:p>
    <w:p w14:paraId="2006EBC1">
      <w:pPr>
        <w:adjustRightInd w:val="0"/>
        <w:snapToGrid w:val="0"/>
        <w:jc w:val="center"/>
        <w:rPr>
          <w:rFonts w:ascii="彩虹粗仿宋" w:hAnsi="宋体" w:eastAsia="彩虹粗仿宋" w:cs="Arial"/>
          <w:sz w:val="24"/>
        </w:rPr>
      </w:pPr>
    </w:p>
    <w:p w14:paraId="5147DEB1">
      <w:pPr>
        <w:adjustRightInd w:val="0"/>
        <w:snapToGrid w:val="0"/>
        <w:jc w:val="center"/>
        <w:rPr>
          <w:rFonts w:ascii="彩虹粗仿宋" w:hAnsi="宋体" w:eastAsia="彩虹粗仿宋" w:cs="Arial"/>
          <w:sz w:val="24"/>
        </w:rPr>
      </w:pPr>
    </w:p>
    <w:p w14:paraId="373A3FA2">
      <w:pPr>
        <w:adjustRightInd w:val="0"/>
        <w:snapToGrid w:val="0"/>
        <w:jc w:val="center"/>
        <w:rPr>
          <w:rFonts w:ascii="彩虹粗仿宋" w:hAnsi="宋体" w:eastAsia="彩虹粗仿宋" w:cs="Arial"/>
          <w:sz w:val="24"/>
        </w:rPr>
      </w:pPr>
    </w:p>
    <w:p w14:paraId="3F0FF595">
      <w:pPr>
        <w:adjustRightInd w:val="0"/>
        <w:snapToGrid w:val="0"/>
        <w:jc w:val="center"/>
        <w:rPr>
          <w:rFonts w:ascii="彩虹粗仿宋" w:hAnsi="宋体" w:eastAsia="彩虹粗仿宋" w:cs="Arial"/>
          <w:sz w:val="24"/>
        </w:rPr>
      </w:pPr>
    </w:p>
    <w:p w14:paraId="1E84C305">
      <w:pPr>
        <w:adjustRightInd w:val="0"/>
        <w:snapToGrid w:val="0"/>
        <w:jc w:val="center"/>
        <w:rPr>
          <w:rFonts w:ascii="彩虹粗仿宋" w:hAnsi="宋体" w:eastAsia="彩虹粗仿宋" w:cs="Arial"/>
          <w:sz w:val="24"/>
        </w:rPr>
      </w:pPr>
    </w:p>
    <w:p w14:paraId="107A31FF">
      <w:pPr>
        <w:adjustRightInd w:val="0"/>
        <w:snapToGrid w:val="0"/>
        <w:jc w:val="center"/>
        <w:rPr>
          <w:rFonts w:ascii="彩虹粗仿宋" w:hAnsi="宋体" w:eastAsia="彩虹粗仿宋" w:cs="Arial"/>
          <w:sz w:val="24"/>
        </w:rPr>
      </w:pPr>
    </w:p>
    <w:p w14:paraId="71861FC4">
      <w:pPr>
        <w:adjustRightInd w:val="0"/>
        <w:snapToGrid w:val="0"/>
        <w:jc w:val="center"/>
        <w:rPr>
          <w:rFonts w:ascii="彩虹粗仿宋" w:hAnsi="宋体" w:eastAsia="彩虹粗仿宋" w:cs="Arial"/>
          <w:sz w:val="24"/>
        </w:rPr>
      </w:pPr>
    </w:p>
    <w:p w14:paraId="43C243BE">
      <w:pPr>
        <w:adjustRightInd w:val="0"/>
        <w:snapToGrid w:val="0"/>
        <w:jc w:val="center"/>
        <w:rPr>
          <w:rFonts w:ascii="彩虹粗仿宋" w:hAnsi="宋体" w:eastAsia="彩虹粗仿宋" w:cs="Arial"/>
          <w:sz w:val="24"/>
        </w:rPr>
      </w:pPr>
    </w:p>
    <w:p w14:paraId="3F604BCF">
      <w:pPr>
        <w:adjustRightInd w:val="0"/>
        <w:snapToGrid w:val="0"/>
        <w:jc w:val="center"/>
        <w:rPr>
          <w:rFonts w:ascii="彩虹粗仿宋" w:hAnsi="宋体" w:eastAsia="彩虹粗仿宋" w:cs="Arial"/>
          <w:sz w:val="24"/>
        </w:rPr>
      </w:pPr>
    </w:p>
    <w:p w14:paraId="74A4D2E3">
      <w:pPr>
        <w:adjustRightInd w:val="0"/>
        <w:snapToGrid w:val="0"/>
        <w:jc w:val="center"/>
        <w:rPr>
          <w:rFonts w:ascii="彩虹粗仿宋" w:hAnsi="宋体" w:eastAsia="彩虹粗仿宋" w:cs="Arial"/>
          <w:sz w:val="24"/>
        </w:rPr>
      </w:pPr>
    </w:p>
    <w:p w14:paraId="6D5BCC4E">
      <w:pPr>
        <w:adjustRightInd w:val="0"/>
        <w:snapToGrid w:val="0"/>
        <w:jc w:val="center"/>
        <w:rPr>
          <w:rFonts w:ascii="彩虹粗仿宋" w:hAnsi="宋体" w:eastAsia="彩虹粗仿宋" w:cs="Arial"/>
          <w:sz w:val="24"/>
        </w:rPr>
      </w:pPr>
    </w:p>
    <w:p w14:paraId="0D1EA142">
      <w:pPr>
        <w:adjustRightInd w:val="0"/>
        <w:snapToGrid w:val="0"/>
        <w:jc w:val="center"/>
        <w:rPr>
          <w:rFonts w:ascii="彩虹粗仿宋" w:hAnsi="宋体" w:eastAsia="彩虹粗仿宋" w:cs="Arial"/>
          <w:sz w:val="24"/>
        </w:rPr>
      </w:pPr>
    </w:p>
    <w:p w14:paraId="2D49A806">
      <w:pPr>
        <w:adjustRightInd w:val="0"/>
        <w:snapToGrid w:val="0"/>
        <w:jc w:val="center"/>
        <w:rPr>
          <w:rFonts w:ascii="彩虹粗仿宋" w:hAnsi="宋体" w:eastAsia="彩虹粗仿宋" w:cs="Arial"/>
          <w:sz w:val="24"/>
        </w:rPr>
      </w:pPr>
    </w:p>
    <w:p w14:paraId="77CD6971">
      <w:pPr>
        <w:adjustRightInd w:val="0"/>
        <w:snapToGrid w:val="0"/>
        <w:jc w:val="center"/>
        <w:rPr>
          <w:rFonts w:ascii="彩虹粗仿宋" w:hAnsi="宋体" w:eastAsia="彩虹粗仿宋" w:cs="Arial"/>
          <w:sz w:val="24"/>
        </w:rPr>
      </w:pPr>
    </w:p>
    <w:p w14:paraId="71E85EA9">
      <w:pPr>
        <w:adjustRightInd w:val="0"/>
        <w:snapToGrid w:val="0"/>
        <w:jc w:val="center"/>
        <w:rPr>
          <w:rFonts w:ascii="彩虹粗仿宋" w:hAnsi="宋体" w:eastAsia="彩虹粗仿宋" w:cs="Arial"/>
          <w:sz w:val="24"/>
        </w:rPr>
      </w:pPr>
    </w:p>
    <w:p w14:paraId="2C0AD1E8">
      <w:pPr>
        <w:adjustRightInd w:val="0"/>
        <w:snapToGrid w:val="0"/>
        <w:jc w:val="center"/>
        <w:rPr>
          <w:rFonts w:ascii="彩虹粗仿宋" w:hAnsi="宋体" w:eastAsia="彩虹粗仿宋" w:cs="Arial"/>
          <w:b/>
          <w:sz w:val="44"/>
        </w:rPr>
      </w:pPr>
      <w:r>
        <w:rPr>
          <w:rFonts w:hint="eastAsia" w:ascii="彩虹粗仿宋" w:hAnsi="宋体" w:eastAsia="彩虹粗仿宋" w:cs="Arial"/>
          <w:b/>
          <w:sz w:val="44"/>
        </w:rPr>
        <w:t>华商双翼平衡混合型证券投资基金</w:t>
      </w:r>
    </w:p>
    <w:p w14:paraId="15259166">
      <w:pPr>
        <w:adjustRightInd w:val="0"/>
        <w:snapToGrid w:val="0"/>
        <w:jc w:val="center"/>
        <w:rPr>
          <w:rFonts w:ascii="彩虹粗仿宋" w:hAnsi="宋体" w:eastAsia="彩虹粗仿宋" w:cs="Arial"/>
          <w:b/>
          <w:sz w:val="44"/>
        </w:rPr>
      </w:pPr>
      <w:r>
        <w:rPr>
          <w:rFonts w:hint="eastAsia" w:ascii="彩虹粗仿宋" w:hAnsi="宋体" w:eastAsia="彩虹粗仿宋" w:cs="Arial"/>
          <w:b/>
          <w:sz w:val="44"/>
        </w:rPr>
        <w:t>托管协议（更新）</w:t>
      </w:r>
    </w:p>
    <w:p w14:paraId="74DDE15A">
      <w:pPr>
        <w:adjustRightInd w:val="0"/>
        <w:snapToGrid w:val="0"/>
        <w:jc w:val="center"/>
        <w:outlineLvl w:val="0"/>
        <w:rPr>
          <w:rFonts w:ascii="彩虹粗仿宋" w:hAnsi="宋体" w:eastAsia="彩虹粗仿宋" w:cs="Arial"/>
          <w:sz w:val="24"/>
        </w:rPr>
      </w:pPr>
    </w:p>
    <w:p w14:paraId="1F82962C">
      <w:pPr>
        <w:adjustRightInd w:val="0"/>
        <w:snapToGrid w:val="0"/>
        <w:jc w:val="center"/>
        <w:outlineLvl w:val="0"/>
        <w:rPr>
          <w:rFonts w:ascii="彩虹粗仿宋" w:hAnsi="宋体" w:eastAsia="彩虹粗仿宋" w:cs="Arial"/>
          <w:sz w:val="24"/>
        </w:rPr>
      </w:pPr>
    </w:p>
    <w:p w14:paraId="4E3FDA28">
      <w:pPr>
        <w:adjustRightInd w:val="0"/>
        <w:snapToGrid w:val="0"/>
        <w:jc w:val="center"/>
        <w:outlineLvl w:val="0"/>
        <w:rPr>
          <w:rFonts w:ascii="彩虹粗仿宋" w:hAnsi="宋体" w:eastAsia="彩虹粗仿宋" w:cs="Arial"/>
          <w:sz w:val="24"/>
        </w:rPr>
      </w:pPr>
    </w:p>
    <w:p w14:paraId="2A269891">
      <w:pPr>
        <w:adjustRightInd w:val="0"/>
        <w:snapToGrid w:val="0"/>
        <w:jc w:val="center"/>
        <w:outlineLvl w:val="0"/>
        <w:rPr>
          <w:rFonts w:ascii="彩虹粗仿宋" w:hAnsi="宋体" w:eastAsia="彩虹粗仿宋" w:cs="Arial"/>
          <w:sz w:val="24"/>
        </w:rPr>
      </w:pPr>
    </w:p>
    <w:p w14:paraId="26C8C979">
      <w:pPr>
        <w:adjustRightInd w:val="0"/>
        <w:snapToGrid w:val="0"/>
        <w:jc w:val="center"/>
        <w:outlineLvl w:val="0"/>
        <w:rPr>
          <w:rFonts w:ascii="彩虹粗仿宋" w:hAnsi="宋体" w:eastAsia="彩虹粗仿宋" w:cs="Arial"/>
          <w:sz w:val="24"/>
        </w:rPr>
      </w:pPr>
    </w:p>
    <w:p w14:paraId="47FA832B">
      <w:pPr>
        <w:adjustRightInd w:val="0"/>
        <w:snapToGrid w:val="0"/>
        <w:jc w:val="center"/>
        <w:outlineLvl w:val="0"/>
        <w:rPr>
          <w:rFonts w:ascii="彩虹粗仿宋" w:hAnsi="宋体" w:eastAsia="彩虹粗仿宋" w:cs="Arial"/>
          <w:sz w:val="24"/>
        </w:rPr>
      </w:pPr>
    </w:p>
    <w:p w14:paraId="1C0FDC7B">
      <w:pPr>
        <w:adjustRightInd w:val="0"/>
        <w:snapToGrid w:val="0"/>
        <w:jc w:val="center"/>
        <w:outlineLvl w:val="0"/>
        <w:rPr>
          <w:rFonts w:ascii="彩虹粗仿宋" w:hAnsi="宋体" w:eastAsia="彩虹粗仿宋" w:cs="Arial"/>
          <w:sz w:val="24"/>
        </w:rPr>
      </w:pPr>
    </w:p>
    <w:p w14:paraId="0E3B4319">
      <w:pPr>
        <w:adjustRightInd w:val="0"/>
        <w:snapToGrid w:val="0"/>
        <w:jc w:val="center"/>
        <w:outlineLvl w:val="0"/>
        <w:rPr>
          <w:rFonts w:ascii="彩虹粗仿宋" w:hAnsi="宋体" w:eastAsia="彩虹粗仿宋" w:cs="Arial"/>
          <w:sz w:val="24"/>
        </w:rPr>
      </w:pPr>
    </w:p>
    <w:p w14:paraId="39FB082A">
      <w:pPr>
        <w:adjustRightInd w:val="0"/>
        <w:snapToGrid w:val="0"/>
        <w:jc w:val="center"/>
        <w:outlineLvl w:val="0"/>
        <w:rPr>
          <w:rFonts w:ascii="彩虹粗仿宋" w:hAnsi="宋体" w:eastAsia="彩虹粗仿宋" w:cs="Arial"/>
          <w:sz w:val="24"/>
        </w:rPr>
      </w:pPr>
    </w:p>
    <w:p w14:paraId="58D65AEB">
      <w:pPr>
        <w:adjustRightInd w:val="0"/>
        <w:snapToGrid w:val="0"/>
        <w:jc w:val="center"/>
        <w:outlineLvl w:val="0"/>
        <w:rPr>
          <w:rFonts w:ascii="彩虹粗仿宋" w:hAnsi="宋体" w:eastAsia="彩虹粗仿宋" w:cs="Arial"/>
          <w:sz w:val="24"/>
        </w:rPr>
      </w:pPr>
    </w:p>
    <w:p w14:paraId="1EDF9972">
      <w:pPr>
        <w:adjustRightInd w:val="0"/>
        <w:snapToGrid w:val="0"/>
        <w:jc w:val="center"/>
        <w:outlineLvl w:val="0"/>
        <w:rPr>
          <w:rFonts w:ascii="彩虹粗仿宋" w:hAnsi="宋体" w:eastAsia="彩虹粗仿宋" w:cs="Arial"/>
          <w:sz w:val="24"/>
        </w:rPr>
      </w:pPr>
    </w:p>
    <w:p w14:paraId="326555BE">
      <w:pPr>
        <w:adjustRightInd w:val="0"/>
        <w:snapToGrid w:val="0"/>
        <w:outlineLvl w:val="0"/>
        <w:rPr>
          <w:rFonts w:ascii="彩虹粗仿宋" w:hAnsi="宋体" w:eastAsia="彩虹粗仿宋" w:cs="Arial"/>
          <w:b/>
          <w:bCs/>
          <w:sz w:val="28"/>
        </w:rPr>
      </w:pPr>
      <w:r>
        <w:rPr>
          <w:rFonts w:hint="eastAsia" w:ascii="彩虹粗仿宋" w:hAnsi="宋体" w:eastAsia="彩虹粗仿宋" w:cs="Arial"/>
          <w:sz w:val="24"/>
        </w:rPr>
        <w:t xml:space="preserve">                 </w:t>
      </w:r>
      <w:r>
        <w:rPr>
          <w:rFonts w:hint="eastAsia" w:ascii="彩虹粗仿宋" w:hAnsi="宋体" w:eastAsia="彩虹粗仿宋" w:cs="Arial"/>
          <w:b/>
          <w:bCs/>
          <w:sz w:val="28"/>
        </w:rPr>
        <w:t>基金管理人：华商基金管理有限公司</w:t>
      </w:r>
    </w:p>
    <w:p w14:paraId="442882DE">
      <w:pPr>
        <w:adjustRightInd w:val="0"/>
        <w:snapToGrid w:val="0"/>
        <w:outlineLvl w:val="0"/>
        <w:rPr>
          <w:rFonts w:ascii="彩虹粗仿宋" w:hAnsi="宋体" w:eastAsia="彩虹粗仿宋" w:cs="Arial"/>
          <w:b/>
          <w:bCs/>
          <w:sz w:val="28"/>
        </w:rPr>
      </w:pPr>
      <w:r>
        <w:rPr>
          <w:rFonts w:hint="eastAsia" w:ascii="彩虹粗仿宋" w:hAnsi="宋体" w:eastAsia="彩虹粗仿宋" w:cs="Arial"/>
          <w:sz w:val="24"/>
        </w:rPr>
        <w:t xml:space="preserve">                 </w:t>
      </w:r>
      <w:r>
        <w:rPr>
          <w:rFonts w:hint="eastAsia" w:ascii="彩虹粗仿宋" w:hAnsi="宋体" w:eastAsia="彩虹粗仿宋" w:cs="Arial"/>
          <w:b/>
          <w:bCs/>
          <w:sz w:val="28"/>
        </w:rPr>
        <w:t>基金托管人：中国建设银行股份有限公司</w:t>
      </w:r>
    </w:p>
    <w:p w14:paraId="54A545BA">
      <w:pPr>
        <w:adjustRightInd w:val="0"/>
        <w:snapToGrid w:val="0"/>
        <w:jc w:val="center"/>
        <w:outlineLvl w:val="0"/>
        <w:rPr>
          <w:rFonts w:ascii="彩虹粗仿宋" w:hAnsi="宋体" w:eastAsia="彩虹粗仿宋" w:cs="Arial"/>
          <w:sz w:val="24"/>
        </w:rPr>
      </w:pPr>
    </w:p>
    <w:p w14:paraId="5D99FD74">
      <w:pPr>
        <w:adjustRightInd w:val="0"/>
        <w:snapToGrid w:val="0"/>
        <w:jc w:val="center"/>
        <w:outlineLvl w:val="0"/>
        <w:rPr>
          <w:rFonts w:ascii="彩虹粗仿宋" w:hAnsi="宋体" w:eastAsia="彩虹粗仿宋" w:cs="Arial"/>
          <w:sz w:val="24"/>
        </w:rPr>
      </w:pPr>
    </w:p>
    <w:p w14:paraId="210529E1">
      <w:pPr>
        <w:adjustRightInd w:val="0"/>
        <w:snapToGrid w:val="0"/>
        <w:jc w:val="center"/>
        <w:outlineLvl w:val="0"/>
        <w:rPr>
          <w:rFonts w:ascii="彩虹粗仿宋" w:hAnsi="宋体" w:eastAsia="彩虹粗仿宋" w:cs="Arial"/>
          <w:sz w:val="24"/>
        </w:rPr>
      </w:pPr>
    </w:p>
    <w:p w14:paraId="2CBAE6F6">
      <w:pPr>
        <w:adjustRightInd w:val="0"/>
        <w:snapToGrid w:val="0"/>
        <w:jc w:val="center"/>
        <w:outlineLvl w:val="0"/>
        <w:rPr>
          <w:rFonts w:ascii="彩虹粗仿宋" w:hAnsi="宋体" w:eastAsia="彩虹粗仿宋" w:cs="Arial"/>
          <w:sz w:val="24"/>
        </w:rPr>
      </w:pPr>
    </w:p>
    <w:p w14:paraId="0CF85D05">
      <w:pPr>
        <w:adjustRightInd w:val="0"/>
        <w:snapToGrid w:val="0"/>
        <w:jc w:val="center"/>
        <w:outlineLvl w:val="0"/>
        <w:rPr>
          <w:rFonts w:ascii="彩虹粗仿宋" w:hAnsi="宋体" w:eastAsia="彩虹粗仿宋" w:cs="Arial"/>
          <w:sz w:val="24"/>
        </w:rPr>
      </w:pPr>
    </w:p>
    <w:p w14:paraId="12668D74">
      <w:pPr>
        <w:adjustRightInd w:val="0"/>
        <w:snapToGrid w:val="0"/>
        <w:outlineLvl w:val="0"/>
        <w:rPr>
          <w:rFonts w:ascii="彩虹粗仿宋" w:hAnsi="宋体" w:eastAsia="彩虹粗仿宋" w:cs="Arial"/>
          <w:sz w:val="24"/>
        </w:rPr>
      </w:pPr>
      <w:r>
        <w:rPr>
          <w:rFonts w:hint="eastAsia" w:ascii="彩虹粗仿宋" w:hAnsi="宋体" w:eastAsia="彩虹粗仿宋" w:cs="Arial"/>
          <w:sz w:val="24"/>
        </w:rPr>
        <w:t xml:space="preserve">                            二零二</w:t>
      </w:r>
      <w:r>
        <w:rPr>
          <w:rFonts w:hint="eastAsia" w:ascii="彩虹粗仿宋" w:hAnsi="宋体" w:eastAsia="彩虹粗仿宋" w:cs="Arial"/>
          <w:sz w:val="24"/>
          <w:lang w:val="en-US" w:eastAsia="zh-CN"/>
        </w:rPr>
        <w:t>五</w:t>
      </w:r>
      <w:r>
        <w:rPr>
          <w:rFonts w:hint="eastAsia" w:ascii="彩虹粗仿宋" w:hAnsi="宋体" w:eastAsia="彩虹粗仿宋" w:cs="Arial"/>
          <w:sz w:val="24"/>
        </w:rPr>
        <w:t>年</w:t>
      </w:r>
      <w:r>
        <w:rPr>
          <w:rFonts w:hint="eastAsia" w:ascii="彩虹粗仿宋" w:hAnsi="宋体" w:eastAsia="彩虹粗仿宋" w:cs="Arial"/>
          <w:sz w:val="24"/>
          <w:lang w:val="en-US" w:eastAsia="zh-CN"/>
        </w:rPr>
        <w:t>二</w:t>
      </w:r>
      <w:bookmarkStart w:id="99" w:name="_GoBack"/>
      <w:bookmarkEnd w:id="99"/>
      <w:r>
        <w:rPr>
          <w:rFonts w:hint="eastAsia" w:ascii="彩虹粗仿宋" w:hAnsi="宋体" w:eastAsia="彩虹粗仿宋" w:cs="Arial"/>
          <w:sz w:val="24"/>
        </w:rPr>
        <w:t>月</w:t>
      </w:r>
    </w:p>
    <w:p w14:paraId="02272565">
      <w:pPr>
        <w:adjustRightInd w:val="0"/>
        <w:snapToGrid w:val="0"/>
        <w:outlineLvl w:val="0"/>
        <w:rPr>
          <w:rFonts w:ascii="彩虹粗仿宋" w:hAnsi="宋体" w:eastAsia="彩虹粗仿宋" w:cs="Arial"/>
          <w:sz w:val="24"/>
        </w:rPr>
      </w:pPr>
    </w:p>
    <w:p w14:paraId="32115053">
      <w:pPr>
        <w:adjustRightInd w:val="0"/>
        <w:snapToGrid w:val="0"/>
        <w:outlineLvl w:val="0"/>
        <w:rPr>
          <w:rFonts w:ascii="彩虹粗仿宋" w:hAnsi="宋体" w:eastAsia="彩虹粗仿宋" w:cs="Arial"/>
          <w:sz w:val="24"/>
        </w:rPr>
      </w:pPr>
    </w:p>
    <w:p w14:paraId="047D5395">
      <w:pPr>
        <w:adjustRightInd w:val="0"/>
        <w:snapToGrid w:val="0"/>
        <w:outlineLvl w:val="0"/>
        <w:rPr>
          <w:rFonts w:ascii="彩虹粗仿宋" w:hAnsi="宋体" w:eastAsia="彩虹粗仿宋" w:cs="Arial"/>
          <w:sz w:val="24"/>
        </w:rPr>
      </w:pPr>
    </w:p>
    <w:p w14:paraId="42958689">
      <w:pPr>
        <w:adjustRightInd w:val="0"/>
        <w:snapToGrid w:val="0"/>
        <w:outlineLvl w:val="0"/>
        <w:rPr>
          <w:rFonts w:ascii="彩虹粗仿宋" w:hAnsi="宋体" w:eastAsia="彩虹粗仿宋" w:cs="Arial"/>
          <w:sz w:val="24"/>
        </w:rPr>
      </w:pPr>
    </w:p>
    <w:p w14:paraId="23D15233">
      <w:pPr>
        <w:adjustRightInd w:val="0"/>
        <w:snapToGrid w:val="0"/>
        <w:outlineLvl w:val="0"/>
        <w:rPr>
          <w:rFonts w:ascii="彩虹粗仿宋" w:hAnsi="宋体" w:eastAsia="彩虹粗仿宋" w:cs="Arial"/>
          <w:sz w:val="24"/>
        </w:rPr>
      </w:pPr>
    </w:p>
    <w:p w14:paraId="773F4267">
      <w:pPr>
        <w:jc w:val="center"/>
        <w:rPr>
          <w:rFonts w:ascii="彩虹粗仿宋" w:eastAsia="彩虹粗仿宋"/>
          <w:b/>
          <w:bCs/>
          <w:sz w:val="30"/>
        </w:rPr>
      </w:pPr>
      <w:r>
        <w:rPr>
          <w:rFonts w:hint="eastAsia" w:ascii="彩虹粗仿宋" w:eastAsia="彩虹粗仿宋"/>
          <w:b/>
          <w:bCs/>
          <w:sz w:val="30"/>
        </w:rPr>
        <w:t>目    录</w:t>
      </w:r>
    </w:p>
    <w:p w14:paraId="16954143">
      <w:pPr>
        <w:pStyle w:val="21"/>
        <w:tabs>
          <w:tab w:val="right" w:leader="dot" w:pos="8494"/>
        </w:tabs>
        <w:rPr>
          <w:rFonts w:ascii="彩虹粗仿宋" w:hAnsi="宋体" w:eastAsia="彩虹粗仿宋"/>
          <w:sz w:val="28"/>
        </w:rPr>
      </w:pPr>
      <w:r>
        <w:rPr>
          <w:rFonts w:hint="eastAsia" w:ascii="彩虹粗仿宋" w:hAnsi="宋体" w:eastAsia="彩虹粗仿宋"/>
          <w:sz w:val="28"/>
        </w:rPr>
        <w:fldChar w:fldCharType="begin"/>
      </w:r>
      <w:r>
        <w:rPr>
          <w:rFonts w:hint="eastAsia" w:ascii="彩虹粗仿宋" w:hAnsi="宋体" w:eastAsia="彩虹粗仿宋"/>
          <w:sz w:val="28"/>
        </w:rPr>
        <w:instrText xml:space="preserve"> TOC \o "1-2" \h \z </w:instrText>
      </w:r>
      <w:r>
        <w:rPr>
          <w:rFonts w:hint="eastAsia" w:ascii="彩虹粗仿宋" w:hAnsi="宋体" w:eastAsia="彩虹粗仿宋"/>
          <w:sz w:val="28"/>
        </w:rPr>
        <w:fldChar w:fldCharType="separate"/>
      </w:r>
      <w:r>
        <w:fldChar w:fldCharType="begin"/>
      </w:r>
      <w:r>
        <w:instrText xml:space="preserve"> HYPERLINK \l "_Toc124325885" </w:instrText>
      </w:r>
      <w:r>
        <w:fldChar w:fldCharType="separate"/>
      </w:r>
      <w:r>
        <w:rPr>
          <w:rStyle w:val="31"/>
          <w:rFonts w:hint="eastAsia" w:ascii="彩虹粗仿宋" w:hAnsi="宋体" w:eastAsia="彩虹粗仿宋"/>
          <w:color w:val="auto"/>
          <w:sz w:val="28"/>
          <w:szCs w:val="32"/>
          <w:u w:val="none"/>
        </w:rPr>
        <w:t>一、基金托管协议当事人</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_Toc124325885 \h </w:instrText>
      </w:r>
      <w:r>
        <w:rPr>
          <w:rFonts w:hint="eastAsia" w:ascii="彩虹粗仿宋" w:hAnsi="宋体" w:eastAsia="彩虹粗仿宋"/>
          <w:sz w:val="28"/>
        </w:rPr>
        <w:fldChar w:fldCharType="separate"/>
      </w:r>
      <w:r>
        <w:rPr>
          <w:rFonts w:ascii="彩虹粗仿宋" w:hAnsi="宋体" w:eastAsia="彩虹粗仿宋"/>
          <w:sz w:val="28"/>
        </w:rPr>
        <w:t>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42791444">
      <w:pPr>
        <w:pStyle w:val="21"/>
        <w:tabs>
          <w:tab w:val="right" w:leader="dot" w:pos="8494"/>
        </w:tabs>
        <w:rPr>
          <w:rFonts w:ascii="彩虹粗仿宋" w:hAnsi="宋体" w:eastAsia="彩虹粗仿宋"/>
          <w:sz w:val="28"/>
        </w:rPr>
      </w:pPr>
      <w:r>
        <w:fldChar w:fldCharType="begin"/>
      </w:r>
      <w:r>
        <w:instrText xml:space="preserve"> HYPERLINK \l "_Toc124325886" </w:instrText>
      </w:r>
      <w:r>
        <w:fldChar w:fldCharType="separate"/>
      </w:r>
      <w:r>
        <w:rPr>
          <w:rStyle w:val="31"/>
          <w:rFonts w:hint="eastAsia" w:ascii="彩虹粗仿宋" w:hAnsi="宋体" w:eastAsia="彩虹粗仿宋"/>
          <w:color w:val="auto"/>
          <w:sz w:val="28"/>
          <w:szCs w:val="32"/>
          <w:u w:val="none"/>
        </w:rPr>
        <w:t>二、基金托管协议的依据、目的和原则</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_Toc124325886 \h </w:instrText>
      </w:r>
      <w:r>
        <w:rPr>
          <w:rFonts w:hint="eastAsia" w:ascii="彩虹粗仿宋" w:hAnsi="宋体" w:eastAsia="彩虹粗仿宋"/>
          <w:sz w:val="28"/>
        </w:rPr>
        <w:fldChar w:fldCharType="separate"/>
      </w:r>
      <w:r>
        <w:rPr>
          <w:rFonts w:ascii="彩虹粗仿宋" w:hAnsi="宋体" w:eastAsia="彩虹粗仿宋"/>
          <w:sz w:val="28"/>
        </w:rPr>
        <w:t>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6B84A1B5">
      <w:pPr>
        <w:pStyle w:val="21"/>
        <w:tabs>
          <w:tab w:val="right" w:leader="dot" w:pos="8494"/>
        </w:tabs>
        <w:rPr>
          <w:rFonts w:ascii="彩虹粗仿宋" w:hAnsi="宋体" w:eastAsia="彩虹粗仿宋"/>
          <w:sz w:val="28"/>
        </w:rPr>
      </w:pPr>
      <w:r>
        <w:fldChar w:fldCharType="begin"/>
      </w:r>
      <w:r>
        <w:instrText xml:space="preserve"> HYPERLINK \l "_Toc124325887" </w:instrText>
      </w:r>
      <w:r>
        <w:fldChar w:fldCharType="separate"/>
      </w:r>
      <w:r>
        <w:rPr>
          <w:rStyle w:val="31"/>
          <w:rFonts w:hint="eastAsia" w:ascii="彩虹粗仿宋" w:hAnsi="宋体" w:eastAsia="彩虹粗仿宋"/>
          <w:color w:val="auto"/>
          <w:sz w:val="28"/>
          <w:szCs w:val="32"/>
          <w:u w:val="none"/>
        </w:rPr>
        <w:t>三、基金托管人对基金管理人的业务监督和核查</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_Toc124325887 \h </w:instrText>
      </w:r>
      <w:r>
        <w:rPr>
          <w:rFonts w:hint="eastAsia" w:ascii="彩虹粗仿宋" w:hAnsi="宋体" w:eastAsia="彩虹粗仿宋"/>
          <w:sz w:val="28"/>
        </w:rPr>
        <w:fldChar w:fldCharType="separate"/>
      </w:r>
      <w:r>
        <w:rPr>
          <w:rFonts w:ascii="彩虹粗仿宋" w:hAnsi="宋体" w:eastAsia="彩虹粗仿宋"/>
          <w:sz w:val="28"/>
        </w:rPr>
        <w:t>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3C8C36B6">
      <w:pPr>
        <w:pStyle w:val="21"/>
        <w:tabs>
          <w:tab w:val="right" w:leader="dot" w:pos="8494"/>
        </w:tabs>
        <w:rPr>
          <w:rFonts w:ascii="彩虹粗仿宋" w:hAnsi="宋体" w:eastAsia="彩虹粗仿宋"/>
          <w:sz w:val="28"/>
        </w:rPr>
      </w:pPr>
      <w:r>
        <w:fldChar w:fldCharType="begin"/>
      </w:r>
      <w:r>
        <w:instrText xml:space="preserve"> HYPERLINK \l "_Toc124325888" </w:instrText>
      </w:r>
      <w:r>
        <w:fldChar w:fldCharType="separate"/>
      </w:r>
      <w:r>
        <w:rPr>
          <w:rStyle w:val="31"/>
          <w:rFonts w:hint="eastAsia" w:ascii="彩虹粗仿宋" w:hAnsi="宋体" w:eastAsia="彩虹粗仿宋"/>
          <w:color w:val="auto"/>
          <w:sz w:val="28"/>
          <w:szCs w:val="32"/>
          <w:u w:val="none"/>
        </w:rPr>
        <w:t>四、基金管理人对基金托管人的业务核查</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_Toc124325888 \h </w:instrText>
      </w:r>
      <w:r>
        <w:rPr>
          <w:rFonts w:hint="eastAsia" w:ascii="彩虹粗仿宋" w:hAnsi="宋体" w:eastAsia="彩虹粗仿宋"/>
          <w:sz w:val="28"/>
        </w:rPr>
        <w:fldChar w:fldCharType="separate"/>
      </w:r>
      <w:r>
        <w:rPr>
          <w:rFonts w:ascii="彩虹粗仿宋" w:hAnsi="宋体" w:eastAsia="彩虹粗仿宋"/>
          <w:sz w:val="28"/>
        </w:rPr>
        <w:t>9</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1DBD0D84">
      <w:pPr>
        <w:pStyle w:val="21"/>
        <w:tabs>
          <w:tab w:val="right" w:leader="dot" w:pos="8494"/>
        </w:tabs>
        <w:rPr>
          <w:rFonts w:ascii="彩虹粗仿宋" w:hAnsi="宋体" w:eastAsia="彩虹粗仿宋"/>
          <w:sz w:val="28"/>
        </w:rPr>
      </w:pPr>
      <w:r>
        <w:fldChar w:fldCharType="begin"/>
      </w:r>
      <w:r>
        <w:instrText xml:space="preserve"> HYPERLINK \l "_Toc124325889" </w:instrText>
      </w:r>
      <w:r>
        <w:fldChar w:fldCharType="separate"/>
      </w:r>
      <w:r>
        <w:rPr>
          <w:rStyle w:val="31"/>
          <w:rFonts w:hint="eastAsia" w:ascii="彩虹粗仿宋" w:hAnsi="宋体" w:eastAsia="彩虹粗仿宋"/>
          <w:color w:val="auto"/>
          <w:sz w:val="28"/>
          <w:szCs w:val="32"/>
          <w:u w:val="none"/>
        </w:rPr>
        <w:t>五、基金财产的保管</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_Toc124325889 \h </w:instrText>
      </w:r>
      <w:r>
        <w:rPr>
          <w:rFonts w:hint="eastAsia" w:ascii="彩虹粗仿宋" w:hAnsi="宋体" w:eastAsia="彩虹粗仿宋"/>
          <w:sz w:val="28"/>
        </w:rPr>
        <w:fldChar w:fldCharType="separate"/>
      </w:r>
      <w:r>
        <w:rPr>
          <w:rFonts w:ascii="彩虹粗仿宋" w:hAnsi="宋体" w:eastAsia="彩虹粗仿宋"/>
          <w:sz w:val="28"/>
        </w:rPr>
        <w:t>9</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69038786">
      <w:pPr>
        <w:pStyle w:val="21"/>
        <w:tabs>
          <w:tab w:val="right" w:leader="dot" w:pos="8494"/>
        </w:tabs>
        <w:rPr>
          <w:rFonts w:ascii="彩虹粗仿宋" w:hAnsi="宋体" w:eastAsia="彩虹粗仿宋"/>
          <w:sz w:val="28"/>
        </w:rPr>
      </w:pPr>
      <w:r>
        <w:fldChar w:fldCharType="begin"/>
      </w:r>
      <w:r>
        <w:instrText xml:space="preserve"> HYPERLINK \l "_Toc124325890" </w:instrText>
      </w:r>
      <w:r>
        <w:fldChar w:fldCharType="separate"/>
      </w:r>
      <w:r>
        <w:rPr>
          <w:rStyle w:val="31"/>
          <w:rFonts w:hint="eastAsia" w:ascii="彩虹粗仿宋" w:hAnsi="宋体" w:eastAsia="彩虹粗仿宋"/>
          <w:color w:val="auto"/>
          <w:sz w:val="28"/>
          <w:szCs w:val="32"/>
          <w:u w:val="none"/>
        </w:rPr>
        <w:t>六、指令的发送、确认及执行</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_Toc124325890 \h </w:instrText>
      </w:r>
      <w:r>
        <w:rPr>
          <w:rFonts w:hint="eastAsia" w:ascii="彩虹粗仿宋" w:hAnsi="宋体" w:eastAsia="彩虹粗仿宋"/>
          <w:sz w:val="28"/>
        </w:rPr>
        <w:fldChar w:fldCharType="separate"/>
      </w:r>
      <w:r>
        <w:rPr>
          <w:rFonts w:ascii="彩虹粗仿宋" w:hAnsi="宋体" w:eastAsia="彩虹粗仿宋"/>
          <w:sz w:val="28"/>
        </w:rPr>
        <w:t>12</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05CF39B8">
      <w:pPr>
        <w:pStyle w:val="21"/>
        <w:tabs>
          <w:tab w:val="right" w:leader="dot" w:pos="8494"/>
        </w:tabs>
        <w:rPr>
          <w:rFonts w:ascii="彩虹粗仿宋" w:hAnsi="宋体" w:eastAsia="彩虹粗仿宋"/>
          <w:sz w:val="28"/>
        </w:rPr>
      </w:pPr>
      <w:r>
        <w:fldChar w:fldCharType="begin"/>
      </w:r>
      <w:r>
        <w:instrText xml:space="preserve"> HYPERLINK \l "_Toc124325891" </w:instrText>
      </w:r>
      <w:r>
        <w:fldChar w:fldCharType="separate"/>
      </w:r>
      <w:r>
        <w:rPr>
          <w:rStyle w:val="31"/>
          <w:rFonts w:hint="eastAsia" w:ascii="彩虹粗仿宋" w:hAnsi="宋体" w:eastAsia="彩虹粗仿宋"/>
          <w:color w:val="auto"/>
          <w:sz w:val="28"/>
          <w:szCs w:val="32"/>
          <w:u w:val="none"/>
        </w:rPr>
        <w:t>七、交易及清算交收安排</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_Toc124325891 \h </w:instrText>
      </w:r>
      <w:r>
        <w:rPr>
          <w:rFonts w:hint="eastAsia" w:ascii="彩虹粗仿宋" w:hAnsi="宋体" w:eastAsia="彩虹粗仿宋"/>
          <w:sz w:val="28"/>
        </w:rPr>
        <w:fldChar w:fldCharType="separate"/>
      </w:r>
      <w:r>
        <w:rPr>
          <w:rFonts w:ascii="彩虹粗仿宋" w:hAnsi="宋体" w:eastAsia="彩虹粗仿宋"/>
          <w:sz w:val="28"/>
        </w:rPr>
        <w:t>13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30B2F78E">
      <w:pPr>
        <w:pStyle w:val="21"/>
        <w:tabs>
          <w:tab w:val="right" w:leader="dot" w:pos="8494"/>
        </w:tabs>
        <w:rPr>
          <w:rFonts w:ascii="彩虹粗仿宋" w:hAnsi="宋体" w:eastAsia="彩虹粗仿宋"/>
          <w:sz w:val="28"/>
        </w:rPr>
      </w:pPr>
      <w:r>
        <w:fldChar w:fldCharType="begin"/>
      </w:r>
      <w:r>
        <w:instrText xml:space="preserve"> HYPERLINK \l "_Toc124325892" </w:instrText>
      </w:r>
      <w:r>
        <w:fldChar w:fldCharType="separate"/>
      </w:r>
      <w:r>
        <w:rPr>
          <w:rStyle w:val="31"/>
          <w:rFonts w:hint="eastAsia" w:ascii="彩虹粗仿宋" w:hAnsi="宋体" w:eastAsia="彩虹粗仿宋"/>
          <w:color w:val="auto"/>
          <w:sz w:val="28"/>
          <w:szCs w:val="32"/>
          <w:u w:val="none"/>
        </w:rPr>
        <w:t>八、基金资产净值计算和会计核算</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_Toc124325892 \h </w:instrText>
      </w:r>
      <w:r>
        <w:rPr>
          <w:rFonts w:hint="eastAsia" w:ascii="彩虹粗仿宋" w:hAnsi="宋体" w:eastAsia="彩虹粗仿宋"/>
          <w:sz w:val="28"/>
        </w:rPr>
        <w:fldChar w:fldCharType="separate"/>
      </w:r>
      <w:r>
        <w:rPr>
          <w:rFonts w:ascii="彩虹粗仿宋" w:hAnsi="宋体" w:eastAsia="彩虹粗仿宋"/>
          <w:sz w:val="28"/>
        </w:rPr>
        <w:t>16</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5D72F563">
      <w:pPr>
        <w:pStyle w:val="21"/>
        <w:tabs>
          <w:tab w:val="right" w:leader="dot" w:pos="8494"/>
        </w:tabs>
        <w:rPr>
          <w:rFonts w:ascii="彩虹粗仿宋" w:hAnsi="宋体" w:eastAsia="彩虹粗仿宋"/>
          <w:sz w:val="28"/>
        </w:rPr>
      </w:pPr>
      <w:r>
        <w:fldChar w:fldCharType="begin"/>
      </w:r>
      <w:r>
        <w:instrText xml:space="preserve"> HYPERLINK \l "_Toc124325893" </w:instrText>
      </w:r>
      <w:r>
        <w:fldChar w:fldCharType="separate"/>
      </w:r>
      <w:r>
        <w:rPr>
          <w:rStyle w:val="31"/>
          <w:rFonts w:hint="eastAsia" w:ascii="彩虹粗仿宋" w:hAnsi="宋体" w:eastAsia="彩虹粗仿宋"/>
          <w:color w:val="auto"/>
          <w:sz w:val="28"/>
          <w:szCs w:val="32"/>
          <w:u w:val="none"/>
        </w:rPr>
        <w:t>九、基金收益分配</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_Toc124325893 \h </w:instrText>
      </w:r>
      <w:r>
        <w:rPr>
          <w:rFonts w:hint="eastAsia" w:ascii="彩虹粗仿宋" w:hAnsi="宋体" w:eastAsia="彩虹粗仿宋"/>
          <w:sz w:val="28"/>
        </w:rPr>
        <w:fldChar w:fldCharType="separate"/>
      </w:r>
      <w:r>
        <w:rPr>
          <w:rFonts w:ascii="彩虹粗仿宋" w:hAnsi="宋体" w:eastAsia="彩虹粗仿宋"/>
          <w:sz w:val="28"/>
        </w:rPr>
        <w:t>19</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73FDC0AB">
      <w:pPr>
        <w:pStyle w:val="21"/>
        <w:tabs>
          <w:tab w:val="right" w:leader="dot" w:pos="8494"/>
        </w:tabs>
        <w:rPr>
          <w:rFonts w:ascii="彩虹粗仿宋" w:hAnsi="宋体" w:eastAsia="彩虹粗仿宋"/>
          <w:sz w:val="28"/>
        </w:rPr>
      </w:pPr>
      <w:r>
        <w:fldChar w:fldCharType="begin"/>
      </w:r>
      <w:r>
        <w:instrText xml:space="preserve"> HYPERLINK \l "_Toc124325894" </w:instrText>
      </w:r>
      <w:r>
        <w:fldChar w:fldCharType="separate"/>
      </w:r>
      <w:r>
        <w:rPr>
          <w:rStyle w:val="31"/>
          <w:rFonts w:hint="eastAsia" w:ascii="彩虹粗仿宋" w:hAnsi="宋体" w:eastAsia="彩虹粗仿宋"/>
          <w:color w:val="auto"/>
          <w:sz w:val="28"/>
          <w:szCs w:val="32"/>
          <w:u w:val="none"/>
        </w:rPr>
        <w:t>十、基金信息披露</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_Toc124325894 \h </w:instrText>
      </w:r>
      <w:r>
        <w:rPr>
          <w:rFonts w:hint="eastAsia" w:ascii="彩虹粗仿宋" w:hAnsi="宋体" w:eastAsia="彩虹粗仿宋"/>
          <w:sz w:val="28"/>
        </w:rPr>
        <w:fldChar w:fldCharType="separate"/>
      </w:r>
      <w:r>
        <w:rPr>
          <w:rFonts w:ascii="彩虹粗仿宋" w:hAnsi="宋体" w:eastAsia="彩虹粗仿宋"/>
          <w:sz w:val="28"/>
        </w:rPr>
        <w:t>20</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0FA8550F">
      <w:pPr>
        <w:pStyle w:val="21"/>
        <w:tabs>
          <w:tab w:val="right" w:leader="dot" w:pos="8494"/>
        </w:tabs>
        <w:rPr>
          <w:rFonts w:ascii="彩虹粗仿宋" w:hAnsi="宋体" w:eastAsia="彩虹粗仿宋"/>
          <w:sz w:val="28"/>
        </w:rPr>
      </w:pPr>
      <w:r>
        <w:fldChar w:fldCharType="begin"/>
      </w:r>
      <w:r>
        <w:instrText xml:space="preserve"> HYPERLINK \l "_Toc124325895" </w:instrText>
      </w:r>
      <w:r>
        <w:fldChar w:fldCharType="separate"/>
      </w:r>
      <w:r>
        <w:rPr>
          <w:rStyle w:val="31"/>
          <w:rFonts w:hint="eastAsia" w:ascii="彩虹粗仿宋" w:hAnsi="宋体" w:eastAsia="彩虹粗仿宋"/>
          <w:color w:val="auto"/>
          <w:sz w:val="28"/>
          <w:szCs w:val="32"/>
          <w:u w:val="none"/>
        </w:rPr>
        <w:t>十一、基金费用</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_Toc124325895 \h </w:instrText>
      </w:r>
      <w:r>
        <w:rPr>
          <w:rFonts w:hint="eastAsia" w:ascii="彩虹粗仿宋" w:hAnsi="宋体" w:eastAsia="彩虹粗仿宋"/>
          <w:sz w:val="28"/>
        </w:rPr>
        <w:fldChar w:fldCharType="separate"/>
      </w:r>
      <w:r>
        <w:rPr>
          <w:rFonts w:ascii="彩虹粗仿宋" w:hAnsi="宋体" w:eastAsia="彩虹粗仿宋"/>
          <w:sz w:val="28"/>
        </w:rPr>
        <w:t>21</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15263323">
      <w:pPr>
        <w:pStyle w:val="21"/>
        <w:tabs>
          <w:tab w:val="right" w:leader="dot" w:pos="8494"/>
        </w:tabs>
        <w:rPr>
          <w:rFonts w:ascii="彩虹粗仿宋" w:hAnsi="宋体" w:eastAsia="彩虹粗仿宋"/>
          <w:sz w:val="28"/>
        </w:rPr>
      </w:pPr>
      <w:r>
        <w:fldChar w:fldCharType="begin"/>
      </w:r>
      <w:r>
        <w:instrText xml:space="preserve"> HYPERLINK \l "_Toc124325896" </w:instrText>
      </w:r>
      <w:r>
        <w:fldChar w:fldCharType="separate"/>
      </w:r>
      <w:r>
        <w:rPr>
          <w:rStyle w:val="31"/>
          <w:rFonts w:hint="eastAsia" w:ascii="彩虹粗仿宋" w:hAnsi="宋体" w:eastAsia="彩虹粗仿宋"/>
          <w:color w:val="auto"/>
          <w:sz w:val="28"/>
          <w:szCs w:val="32"/>
          <w:u w:val="none"/>
        </w:rPr>
        <w:t>十二、基金份额持有人名册的保管</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_Toc124325896 \h </w:instrText>
      </w:r>
      <w:r>
        <w:rPr>
          <w:rFonts w:hint="eastAsia" w:ascii="彩虹粗仿宋" w:hAnsi="宋体" w:eastAsia="彩虹粗仿宋"/>
          <w:sz w:val="28"/>
        </w:rPr>
        <w:fldChar w:fldCharType="separate"/>
      </w:r>
      <w:r>
        <w:rPr>
          <w:rFonts w:ascii="彩虹粗仿宋" w:hAnsi="宋体" w:eastAsia="彩虹粗仿宋"/>
          <w:sz w:val="28"/>
        </w:rPr>
        <w:t>22</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5336A456">
      <w:pPr>
        <w:pStyle w:val="21"/>
        <w:tabs>
          <w:tab w:val="right" w:leader="dot" w:pos="8494"/>
        </w:tabs>
        <w:rPr>
          <w:rFonts w:ascii="彩虹粗仿宋" w:hAnsi="宋体" w:eastAsia="彩虹粗仿宋"/>
          <w:sz w:val="28"/>
        </w:rPr>
      </w:pPr>
      <w:r>
        <w:fldChar w:fldCharType="begin"/>
      </w:r>
      <w:r>
        <w:instrText xml:space="preserve"> HYPERLINK \l "_Toc124325897" </w:instrText>
      </w:r>
      <w:r>
        <w:fldChar w:fldCharType="separate"/>
      </w:r>
      <w:r>
        <w:rPr>
          <w:rStyle w:val="31"/>
          <w:rFonts w:hint="eastAsia" w:ascii="彩虹粗仿宋" w:hAnsi="宋体" w:eastAsia="彩虹粗仿宋"/>
          <w:color w:val="auto"/>
          <w:sz w:val="28"/>
          <w:szCs w:val="32"/>
          <w:u w:val="none"/>
        </w:rPr>
        <w:t>十三、基金有关文件档案的保存</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_Toc124325897 \h </w:instrText>
      </w:r>
      <w:r>
        <w:rPr>
          <w:rFonts w:hint="eastAsia" w:ascii="彩虹粗仿宋" w:hAnsi="宋体" w:eastAsia="彩虹粗仿宋"/>
          <w:sz w:val="28"/>
        </w:rPr>
        <w:fldChar w:fldCharType="separate"/>
      </w:r>
      <w:r>
        <w:rPr>
          <w:rFonts w:ascii="彩虹粗仿宋" w:hAnsi="宋体" w:eastAsia="彩虹粗仿宋"/>
          <w:sz w:val="28"/>
        </w:rPr>
        <w:t>23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13DE8CF8">
      <w:pPr>
        <w:pStyle w:val="21"/>
        <w:tabs>
          <w:tab w:val="right" w:leader="dot" w:pos="8494"/>
        </w:tabs>
        <w:rPr>
          <w:rFonts w:ascii="彩虹粗仿宋" w:hAnsi="宋体" w:eastAsia="彩虹粗仿宋"/>
          <w:sz w:val="28"/>
        </w:rPr>
      </w:pPr>
      <w:r>
        <w:fldChar w:fldCharType="begin"/>
      </w:r>
      <w:r>
        <w:instrText xml:space="preserve"> HYPERLINK \l "_Toc124325898" </w:instrText>
      </w:r>
      <w:r>
        <w:fldChar w:fldCharType="separate"/>
      </w:r>
      <w:r>
        <w:rPr>
          <w:rStyle w:val="31"/>
          <w:rFonts w:hint="eastAsia" w:ascii="彩虹粗仿宋" w:hAnsi="宋体" w:eastAsia="彩虹粗仿宋"/>
          <w:color w:val="auto"/>
          <w:sz w:val="28"/>
          <w:szCs w:val="32"/>
          <w:u w:val="none"/>
        </w:rPr>
        <w:t>十四、基金管理人和基金托管人的更换</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_Toc124325898 \h </w:instrText>
      </w:r>
      <w:r>
        <w:rPr>
          <w:rFonts w:hint="eastAsia" w:ascii="彩虹粗仿宋" w:hAnsi="宋体" w:eastAsia="彩虹粗仿宋"/>
          <w:sz w:val="28"/>
        </w:rPr>
        <w:fldChar w:fldCharType="separate"/>
      </w:r>
      <w:r>
        <w:rPr>
          <w:rFonts w:ascii="彩虹粗仿宋" w:hAnsi="宋体" w:eastAsia="彩虹粗仿宋"/>
          <w:sz w:val="28"/>
        </w:rPr>
        <w:t>23</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622683BB">
      <w:pPr>
        <w:pStyle w:val="21"/>
        <w:tabs>
          <w:tab w:val="right" w:leader="dot" w:pos="8494"/>
        </w:tabs>
        <w:rPr>
          <w:rFonts w:ascii="彩虹粗仿宋" w:hAnsi="宋体" w:eastAsia="彩虹粗仿宋"/>
          <w:sz w:val="28"/>
        </w:rPr>
      </w:pPr>
      <w:r>
        <w:fldChar w:fldCharType="begin"/>
      </w:r>
      <w:r>
        <w:instrText xml:space="preserve"> HYPERLINK \l "_Toc124325899" </w:instrText>
      </w:r>
      <w:r>
        <w:fldChar w:fldCharType="separate"/>
      </w:r>
      <w:r>
        <w:rPr>
          <w:rStyle w:val="31"/>
          <w:rFonts w:hint="eastAsia" w:ascii="彩虹粗仿宋" w:hAnsi="宋体" w:eastAsia="彩虹粗仿宋"/>
          <w:color w:val="auto"/>
          <w:sz w:val="28"/>
          <w:szCs w:val="32"/>
          <w:u w:val="none"/>
        </w:rPr>
        <w:t>十五、禁止行为</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_Toc124325899 \h </w:instrText>
      </w:r>
      <w:r>
        <w:rPr>
          <w:rFonts w:hint="eastAsia" w:ascii="彩虹粗仿宋" w:hAnsi="宋体" w:eastAsia="彩虹粗仿宋"/>
          <w:sz w:val="28"/>
        </w:rPr>
        <w:fldChar w:fldCharType="separate"/>
      </w:r>
      <w:r>
        <w:rPr>
          <w:rFonts w:ascii="彩虹粗仿宋" w:hAnsi="宋体" w:eastAsia="彩虹粗仿宋"/>
          <w:sz w:val="28"/>
        </w:rPr>
        <w:t>24</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5185B41C">
      <w:pPr>
        <w:pStyle w:val="21"/>
        <w:tabs>
          <w:tab w:val="right" w:leader="dot" w:pos="8494"/>
        </w:tabs>
        <w:rPr>
          <w:rFonts w:ascii="彩虹粗仿宋" w:hAnsi="宋体" w:eastAsia="彩虹粗仿宋"/>
          <w:sz w:val="28"/>
        </w:rPr>
      </w:pPr>
      <w:r>
        <w:fldChar w:fldCharType="begin"/>
      </w:r>
      <w:r>
        <w:instrText xml:space="preserve"> HYPERLINK \l "_Toc124325900" </w:instrText>
      </w:r>
      <w:r>
        <w:fldChar w:fldCharType="separate"/>
      </w:r>
      <w:r>
        <w:rPr>
          <w:rStyle w:val="31"/>
          <w:rFonts w:hint="eastAsia" w:ascii="彩虹粗仿宋" w:hAnsi="宋体" w:eastAsia="彩虹粗仿宋"/>
          <w:color w:val="auto"/>
          <w:sz w:val="28"/>
          <w:szCs w:val="32"/>
          <w:u w:val="none"/>
        </w:rPr>
        <w:t>十六、托管协议的变更、终止与基金财产的清算</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_Toc124325900 \h </w:instrText>
      </w:r>
      <w:r>
        <w:rPr>
          <w:rFonts w:hint="eastAsia" w:ascii="彩虹粗仿宋" w:hAnsi="宋体" w:eastAsia="彩虹粗仿宋"/>
          <w:sz w:val="28"/>
        </w:rPr>
        <w:fldChar w:fldCharType="separate"/>
      </w:r>
      <w:r>
        <w:rPr>
          <w:rFonts w:ascii="彩虹粗仿宋" w:hAnsi="宋体" w:eastAsia="彩虹粗仿宋"/>
          <w:sz w:val="28"/>
        </w:rPr>
        <w:t>25</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3FA31F10">
      <w:pPr>
        <w:pStyle w:val="21"/>
        <w:tabs>
          <w:tab w:val="right" w:leader="dot" w:pos="8494"/>
        </w:tabs>
        <w:rPr>
          <w:rFonts w:ascii="彩虹粗仿宋" w:hAnsi="宋体" w:eastAsia="彩虹粗仿宋"/>
          <w:sz w:val="28"/>
        </w:rPr>
      </w:pPr>
      <w:r>
        <w:fldChar w:fldCharType="begin"/>
      </w:r>
      <w:r>
        <w:instrText xml:space="preserve"> HYPERLINK \l "_Toc124325901" </w:instrText>
      </w:r>
      <w:r>
        <w:fldChar w:fldCharType="separate"/>
      </w:r>
      <w:r>
        <w:rPr>
          <w:rStyle w:val="31"/>
          <w:rFonts w:hint="eastAsia" w:ascii="彩虹粗仿宋" w:hAnsi="宋体" w:eastAsia="彩虹粗仿宋"/>
          <w:color w:val="auto"/>
          <w:sz w:val="28"/>
          <w:szCs w:val="32"/>
          <w:u w:val="none"/>
        </w:rPr>
        <w:t>十七、违约责任</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_Toc124325901 \h </w:instrText>
      </w:r>
      <w:r>
        <w:rPr>
          <w:rFonts w:hint="eastAsia" w:ascii="彩虹粗仿宋" w:hAnsi="宋体" w:eastAsia="彩虹粗仿宋"/>
          <w:sz w:val="28"/>
        </w:rPr>
        <w:fldChar w:fldCharType="separate"/>
      </w:r>
      <w:r>
        <w:rPr>
          <w:rFonts w:ascii="彩虹粗仿宋" w:hAnsi="宋体" w:eastAsia="彩虹粗仿宋"/>
          <w:sz w:val="28"/>
        </w:rPr>
        <w:t>26</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549E453E">
      <w:pPr>
        <w:pStyle w:val="21"/>
        <w:tabs>
          <w:tab w:val="right" w:leader="dot" w:pos="8494"/>
        </w:tabs>
        <w:rPr>
          <w:rFonts w:ascii="彩虹粗仿宋" w:hAnsi="宋体" w:eastAsia="彩虹粗仿宋"/>
          <w:sz w:val="28"/>
        </w:rPr>
      </w:pPr>
      <w:r>
        <w:fldChar w:fldCharType="begin"/>
      </w:r>
      <w:r>
        <w:instrText xml:space="preserve"> HYPERLINK \l "_Toc124325902" </w:instrText>
      </w:r>
      <w:r>
        <w:fldChar w:fldCharType="separate"/>
      </w:r>
      <w:r>
        <w:rPr>
          <w:rStyle w:val="31"/>
          <w:rFonts w:hint="eastAsia" w:ascii="彩虹粗仿宋" w:hAnsi="宋体" w:eastAsia="彩虹粗仿宋"/>
          <w:color w:val="auto"/>
          <w:sz w:val="28"/>
          <w:szCs w:val="32"/>
          <w:u w:val="none"/>
        </w:rPr>
        <w:t>十八、争议解决方式</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_Toc124325902 \h </w:instrText>
      </w:r>
      <w:r>
        <w:rPr>
          <w:rFonts w:hint="eastAsia" w:ascii="彩虹粗仿宋" w:hAnsi="宋体" w:eastAsia="彩虹粗仿宋"/>
          <w:sz w:val="28"/>
        </w:rPr>
        <w:fldChar w:fldCharType="separate"/>
      </w:r>
      <w:r>
        <w:rPr>
          <w:rFonts w:ascii="彩虹粗仿宋" w:hAnsi="宋体" w:eastAsia="彩虹粗仿宋"/>
          <w:sz w:val="28"/>
        </w:rPr>
        <w:t>27</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0E986837">
      <w:pPr>
        <w:pStyle w:val="21"/>
        <w:tabs>
          <w:tab w:val="right" w:leader="dot" w:pos="8494"/>
        </w:tabs>
        <w:rPr>
          <w:rFonts w:ascii="彩虹粗仿宋" w:hAnsi="宋体" w:eastAsia="彩虹粗仿宋"/>
          <w:sz w:val="28"/>
        </w:rPr>
      </w:pPr>
      <w:r>
        <w:fldChar w:fldCharType="begin"/>
      </w:r>
      <w:r>
        <w:instrText xml:space="preserve"> HYPERLINK \l "_Toc124325903" </w:instrText>
      </w:r>
      <w:r>
        <w:fldChar w:fldCharType="separate"/>
      </w:r>
      <w:r>
        <w:rPr>
          <w:rStyle w:val="31"/>
          <w:rFonts w:hint="eastAsia" w:ascii="彩虹粗仿宋" w:hAnsi="宋体" w:eastAsia="彩虹粗仿宋"/>
          <w:color w:val="auto"/>
          <w:sz w:val="28"/>
          <w:szCs w:val="32"/>
          <w:u w:val="none"/>
        </w:rPr>
        <w:t>十九、托管协议的效力</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_Toc124325903 \h </w:instrText>
      </w:r>
      <w:r>
        <w:rPr>
          <w:rFonts w:hint="eastAsia" w:ascii="彩虹粗仿宋" w:hAnsi="宋体" w:eastAsia="彩虹粗仿宋"/>
          <w:sz w:val="28"/>
        </w:rPr>
        <w:fldChar w:fldCharType="separate"/>
      </w:r>
      <w:r>
        <w:rPr>
          <w:rFonts w:ascii="彩虹粗仿宋" w:hAnsi="宋体" w:eastAsia="彩虹粗仿宋"/>
          <w:sz w:val="28"/>
        </w:rPr>
        <w:t>27</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1ABB1830">
      <w:pPr>
        <w:pStyle w:val="21"/>
        <w:tabs>
          <w:tab w:val="right" w:leader="dot" w:pos="8494"/>
        </w:tabs>
        <w:rPr>
          <w:rFonts w:ascii="彩虹粗仿宋" w:hAnsi="宋体" w:eastAsia="彩虹粗仿宋"/>
          <w:sz w:val="28"/>
        </w:rPr>
      </w:pPr>
      <w:r>
        <w:fldChar w:fldCharType="begin"/>
      </w:r>
      <w:r>
        <w:instrText xml:space="preserve"> HYPERLINK \l "_Toc124325904" </w:instrText>
      </w:r>
      <w:r>
        <w:fldChar w:fldCharType="separate"/>
      </w:r>
      <w:r>
        <w:rPr>
          <w:rStyle w:val="31"/>
          <w:rFonts w:hint="eastAsia" w:ascii="彩虹粗仿宋" w:hAnsi="宋体" w:eastAsia="彩虹粗仿宋"/>
          <w:color w:val="auto"/>
          <w:sz w:val="28"/>
          <w:szCs w:val="32"/>
          <w:u w:val="none"/>
        </w:rPr>
        <w:t>二十、其他事项</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_Toc124325904 \h </w:instrText>
      </w:r>
      <w:r>
        <w:rPr>
          <w:rFonts w:hint="eastAsia" w:ascii="彩虹粗仿宋" w:hAnsi="宋体" w:eastAsia="彩虹粗仿宋"/>
          <w:sz w:val="28"/>
        </w:rPr>
        <w:fldChar w:fldCharType="separate"/>
      </w:r>
      <w:r>
        <w:rPr>
          <w:rFonts w:ascii="彩虹粗仿宋" w:hAnsi="宋体" w:eastAsia="彩虹粗仿宋"/>
          <w:sz w:val="28"/>
        </w:rPr>
        <w:t>28</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7E989663">
      <w:pPr>
        <w:pStyle w:val="21"/>
        <w:tabs>
          <w:tab w:val="right" w:leader="dot" w:pos="8494"/>
        </w:tabs>
        <w:rPr>
          <w:rStyle w:val="31"/>
          <w:rFonts w:ascii="彩虹粗仿宋" w:hAnsi="宋体" w:eastAsia="彩虹粗仿宋"/>
          <w:color w:val="auto"/>
          <w:sz w:val="28"/>
          <w:u w:val="none"/>
        </w:rPr>
        <w:sectPr>
          <w:pgSz w:w="11906" w:h="16838"/>
          <w:pgMar w:top="1418" w:right="1701" w:bottom="1418" w:left="1701" w:header="851" w:footer="992" w:gutter="0"/>
          <w:cols w:space="425" w:num="1"/>
          <w:docGrid w:type="lines" w:linePitch="312" w:charSpace="0"/>
        </w:sectPr>
      </w:pPr>
      <w:r>
        <w:fldChar w:fldCharType="begin"/>
      </w:r>
      <w:r>
        <w:instrText xml:space="preserve"> HYPERLINK \l "_Toc124325905" </w:instrText>
      </w:r>
      <w:r>
        <w:fldChar w:fldCharType="separate"/>
      </w:r>
      <w:r>
        <w:rPr>
          <w:rStyle w:val="31"/>
          <w:rFonts w:hint="eastAsia" w:ascii="彩虹粗仿宋" w:hAnsi="宋体" w:eastAsia="彩虹粗仿宋"/>
          <w:color w:val="auto"/>
          <w:sz w:val="28"/>
          <w:szCs w:val="32"/>
          <w:u w:val="none"/>
        </w:rPr>
        <w:t>二十一、托管协议的签订</w:t>
      </w:r>
      <w:r>
        <w:rPr>
          <w:rFonts w:hint="eastAsia" w:ascii="彩虹粗仿宋" w:hAnsi="宋体" w:eastAsia="彩虹粗仿宋"/>
          <w:sz w:val="28"/>
        </w:rPr>
        <w:tab/>
      </w:r>
      <w:r>
        <w:rPr>
          <w:rFonts w:hint="eastAsia" w:ascii="彩虹粗仿宋" w:hAnsi="宋体" w:eastAsia="彩虹粗仿宋"/>
          <w:sz w:val="28"/>
        </w:rPr>
        <w:fldChar w:fldCharType="begin"/>
      </w:r>
      <w:r>
        <w:rPr>
          <w:rFonts w:hint="eastAsia" w:ascii="彩虹粗仿宋" w:hAnsi="宋体" w:eastAsia="彩虹粗仿宋"/>
          <w:sz w:val="28"/>
        </w:rPr>
        <w:instrText xml:space="preserve"> PAGEREF _Toc124325905 \h </w:instrText>
      </w:r>
      <w:r>
        <w:rPr>
          <w:rFonts w:hint="eastAsia" w:ascii="彩虹粗仿宋" w:hAnsi="宋体" w:eastAsia="彩虹粗仿宋"/>
          <w:sz w:val="28"/>
        </w:rPr>
        <w:fldChar w:fldCharType="separate"/>
      </w:r>
      <w:r>
        <w:rPr>
          <w:rFonts w:ascii="彩虹粗仿宋" w:hAnsi="宋体" w:eastAsia="彩虹粗仿宋"/>
          <w:sz w:val="28"/>
        </w:rPr>
        <w:t>28</w:t>
      </w:r>
      <w:r>
        <w:rPr>
          <w:rFonts w:hint="eastAsia" w:ascii="彩虹粗仿宋" w:hAnsi="宋体" w:eastAsia="彩虹粗仿宋"/>
          <w:sz w:val="28"/>
        </w:rPr>
        <w:fldChar w:fldCharType="end"/>
      </w:r>
      <w:r>
        <w:rPr>
          <w:rFonts w:hint="eastAsia" w:ascii="彩虹粗仿宋" w:hAnsi="宋体" w:eastAsia="彩虹粗仿宋"/>
          <w:sz w:val="28"/>
        </w:rPr>
        <w:fldChar w:fldCharType="end"/>
      </w:r>
    </w:p>
    <w:p w14:paraId="3C5FA32C">
      <w:pPr>
        <w:pStyle w:val="21"/>
        <w:tabs>
          <w:tab w:val="right" w:leader="dot" w:pos="8494"/>
        </w:tabs>
        <w:rPr>
          <w:rFonts w:ascii="彩虹粗仿宋" w:hAnsi="宋体" w:eastAsia="彩虹粗仿宋"/>
          <w:sz w:val="28"/>
        </w:rPr>
      </w:pPr>
    </w:p>
    <w:p w14:paraId="73208C67">
      <w:pPr>
        <w:widowControl/>
        <w:adjustRightInd w:val="0"/>
        <w:snapToGrid w:val="0"/>
        <w:ind w:firstLine="560" w:firstLineChars="200"/>
        <w:rPr>
          <w:rFonts w:ascii="彩虹粗仿宋" w:hAnsi="宋体" w:eastAsia="彩虹粗仿宋" w:cs="Arial"/>
          <w:kern w:val="0"/>
          <w:sz w:val="24"/>
        </w:rPr>
      </w:pPr>
      <w:r>
        <w:rPr>
          <w:rFonts w:hint="eastAsia" w:ascii="彩虹粗仿宋" w:hAnsi="宋体" w:eastAsia="彩虹粗仿宋"/>
          <w:sz w:val="28"/>
        </w:rPr>
        <w:fldChar w:fldCharType="end"/>
      </w:r>
      <w:r>
        <w:rPr>
          <w:rFonts w:hint="eastAsia" w:ascii="彩虹粗仿宋" w:hAnsi="宋体" w:eastAsia="彩虹粗仿宋" w:cs="Arial"/>
          <w:kern w:val="0"/>
          <w:sz w:val="24"/>
        </w:rPr>
        <w:t>鉴于华商基金管理有限公司系一家依照中国法律合法成立并有效存续的有限责任公司，按照相关法律法规的规定具备担任基金管理人的资格和能力，拟募集发行华商双翼平衡混合型证券投资基金；</w:t>
      </w:r>
    </w:p>
    <w:p w14:paraId="6E9C7113">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鉴于中国建设银行股份有限公司系一家依照中国法律合法成立并有效存续的银行，按照相关法律法规的规定具备担任基金托管人的资格和能力；</w:t>
      </w:r>
    </w:p>
    <w:p w14:paraId="19367645">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鉴于华商基金管理有限公司拟担任华商双翼平衡混合型证券投资基金的基金管理人，中国建设银行股份有限公司拟担任华商双翼平衡混合型证券投资基金的基金托管人；</w:t>
      </w:r>
    </w:p>
    <w:p w14:paraId="09F8D114">
      <w:pPr>
        <w:widowControl/>
        <w:adjustRightInd w:val="0"/>
        <w:snapToGrid w:val="0"/>
        <w:ind w:firstLine="480" w:firstLineChars="200"/>
        <w:rPr>
          <w:rFonts w:ascii="彩虹粗仿宋" w:hAnsi="宋体" w:eastAsia="彩虹粗仿宋" w:cs="Arial"/>
          <w:kern w:val="0"/>
          <w:sz w:val="24"/>
        </w:rPr>
      </w:pPr>
      <w:r>
        <w:rPr>
          <w:rFonts w:hint="eastAsia" w:ascii="彩虹粗仿宋" w:hAnsi="宋体" w:eastAsia="彩虹粗仿宋" w:cs="Arial"/>
          <w:kern w:val="0"/>
          <w:sz w:val="24"/>
        </w:rPr>
        <w:t>为明确</w:t>
      </w:r>
      <w:r>
        <w:rPr>
          <w:rFonts w:hint="eastAsia" w:ascii="彩虹粗仿宋" w:hAnsi="宋体" w:eastAsia="彩虹粗仿宋" w:cs="Arial"/>
          <w:sz w:val="24"/>
        </w:rPr>
        <w:t>华商双翼平衡混合型</w:t>
      </w:r>
      <w:r>
        <w:rPr>
          <w:rFonts w:hint="eastAsia" w:ascii="彩虹粗仿宋" w:hAnsi="宋体" w:eastAsia="彩虹粗仿宋" w:cs="Arial"/>
          <w:kern w:val="0"/>
          <w:sz w:val="24"/>
        </w:rPr>
        <w:t>证券投资基金的基金管理人和基金托管人之间的权利义务关系，特制订本托管协议；</w:t>
      </w:r>
    </w:p>
    <w:p w14:paraId="1A533749">
      <w:pPr>
        <w:widowControl/>
        <w:adjustRightInd w:val="0"/>
        <w:snapToGrid w:val="0"/>
        <w:ind w:firstLine="480" w:firstLineChars="200"/>
        <w:rPr>
          <w:rFonts w:ascii="彩虹粗仿宋" w:hAnsi="宋体" w:eastAsia="彩虹粗仿宋" w:cs="Arial"/>
          <w:kern w:val="0"/>
          <w:sz w:val="24"/>
          <w:lang w:val="en-GB"/>
        </w:rPr>
      </w:pPr>
      <w:r>
        <w:rPr>
          <w:rFonts w:hint="eastAsia" w:ascii="彩虹粗仿宋" w:hAnsi="宋体" w:eastAsia="彩虹粗仿宋" w:cs="Arial"/>
          <w:kern w:val="0"/>
          <w:sz w:val="24"/>
          <w:lang w:val="en-GB"/>
        </w:rPr>
        <w:t>除非另有约定，《</w:t>
      </w:r>
      <w:r>
        <w:rPr>
          <w:rFonts w:hint="eastAsia" w:ascii="彩虹粗仿宋" w:hAnsi="宋体" w:eastAsia="彩虹粗仿宋" w:cs="Arial"/>
          <w:sz w:val="24"/>
        </w:rPr>
        <w:t>华商双翼平衡混合型</w:t>
      </w:r>
      <w:r>
        <w:rPr>
          <w:rFonts w:hint="eastAsia" w:ascii="彩虹粗仿宋" w:hAnsi="宋体" w:eastAsia="彩虹粗仿宋" w:cs="Arial"/>
          <w:kern w:val="0"/>
          <w:sz w:val="24"/>
          <w:lang w:val="en-GB"/>
        </w:rPr>
        <w:t>证券投资基金基金合同》(以下简称“基金合同”)中定义的术语在用于本托管协议时应具有相同的含义；若有抵触应以《基金合同》为准，并依其</w:t>
      </w:r>
      <w:r>
        <w:rPr>
          <w:rFonts w:hint="eastAsia" w:ascii="彩虹粗仿宋" w:hAnsi="宋体" w:eastAsia="彩虹粗仿宋" w:cs="Arial"/>
          <w:kern w:val="0"/>
          <w:sz w:val="24"/>
        </w:rPr>
        <w:t>条款</w:t>
      </w:r>
      <w:r>
        <w:rPr>
          <w:rFonts w:hint="eastAsia" w:ascii="彩虹粗仿宋" w:hAnsi="宋体" w:eastAsia="彩虹粗仿宋" w:cs="Arial"/>
          <w:kern w:val="0"/>
          <w:sz w:val="24"/>
          <w:lang w:val="en-GB"/>
        </w:rPr>
        <w:t>解释。</w:t>
      </w:r>
    </w:p>
    <w:p w14:paraId="27DD564E">
      <w:pPr>
        <w:rPr>
          <w:rFonts w:ascii="彩虹粗仿宋" w:eastAsia="彩虹粗仿宋"/>
          <w:sz w:val="24"/>
          <w:lang w:val="en-GB"/>
        </w:rPr>
      </w:pPr>
    </w:p>
    <w:p w14:paraId="403DB2A3">
      <w:pPr>
        <w:pStyle w:val="2"/>
        <w:jc w:val="center"/>
        <w:rPr>
          <w:rFonts w:ascii="彩虹粗仿宋" w:eastAsia="彩虹粗仿宋"/>
        </w:rPr>
      </w:pPr>
      <w:bookmarkStart w:id="0" w:name="_Toc124325885"/>
      <w:r>
        <w:rPr>
          <w:rFonts w:hint="eastAsia" w:ascii="彩虹粗仿宋" w:eastAsia="彩虹粗仿宋"/>
        </w:rPr>
        <w:t>一、基金托管协议当事人</w:t>
      </w:r>
      <w:bookmarkEnd w:id="0"/>
    </w:p>
    <w:p w14:paraId="3B8588B8">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（一）基金管理人</w:t>
      </w:r>
    </w:p>
    <w:p w14:paraId="1EFF90E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名称：华商基金管理有限公司</w:t>
      </w:r>
    </w:p>
    <w:p w14:paraId="28414F0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注册地址：北京市西城区平安里西大街28号楼19层</w:t>
      </w:r>
    </w:p>
    <w:p w14:paraId="534B9E4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办公地址：北京市西城区平安里西大街28号楼19层</w:t>
      </w:r>
    </w:p>
    <w:p w14:paraId="7E42154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邮政编码：100035</w:t>
      </w:r>
    </w:p>
    <w:p w14:paraId="1B3555E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法定代表人：苏金奎</w:t>
      </w:r>
    </w:p>
    <w:p w14:paraId="2F0A527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成立日期：2005年12月20日</w:t>
      </w:r>
    </w:p>
    <w:p w14:paraId="6D981DB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批准设立机关及批准设立文号：中国证监会证监基金字</w:t>
      </w:r>
      <w:r>
        <w:rPr>
          <w:rStyle w:val="34"/>
          <w:rFonts w:hint="eastAsia" w:ascii="彩虹粗仿宋" w:hAnsi="宋体" w:eastAsia="彩虹粗仿宋" w:cs="Arial"/>
          <w:sz w:val="24"/>
        </w:rPr>
        <w:t>【2005】160</w:t>
      </w:r>
      <w:r>
        <w:rPr>
          <w:rFonts w:hint="eastAsia" w:ascii="彩虹粗仿宋" w:hAnsi="宋体" w:eastAsia="彩虹粗仿宋" w:cs="Arial"/>
          <w:sz w:val="24"/>
        </w:rPr>
        <w:t>号</w:t>
      </w:r>
    </w:p>
    <w:p w14:paraId="0792CF6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组织形式：有限责任公司</w:t>
      </w:r>
    </w:p>
    <w:p w14:paraId="360C06C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注册资本：壹亿元整</w:t>
      </w:r>
    </w:p>
    <w:p w14:paraId="3D55449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存续期间：持续经营</w:t>
      </w:r>
    </w:p>
    <w:p w14:paraId="4458760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经营范围：基金募集；基金销售；资产管理和中国证监会许可的其他业务</w:t>
      </w:r>
    </w:p>
    <w:p w14:paraId="673E3566">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（二）基金托管人</w:t>
      </w:r>
    </w:p>
    <w:p w14:paraId="61855DF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名称：中国建设银行股份有限公司(简称：中国建设银行)</w:t>
      </w:r>
    </w:p>
    <w:p w14:paraId="694834C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住所：北京市西城区金融大街25号</w:t>
      </w:r>
    </w:p>
    <w:p w14:paraId="13E84BB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办公地址：北京市西城区闹市口大街1号院1号楼</w:t>
      </w:r>
    </w:p>
    <w:p w14:paraId="7E89051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邮政编码：100033</w:t>
      </w:r>
    </w:p>
    <w:p w14:paraId="57E4F2D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法定代表人：张金良</w:t>
      </w:r>
    </w:p>
    <w:p w14:paraId="2777D24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成立日期：2004年09月17日</w:t>
      </w:r>
    </w:p>
    <w:p w14:paraId="4A7331D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基金托管业务批准文号：中国证监会证监基字[1998</w:t>
      </w:r>
      <w:bookmarkStart w:id="1" w:name="OLE_LINK3"/>
      <w:r>
        <w:rPr>
          <w:rFonts w:hint="eastAsia" w:ascii="彩虹粗仿宋" w:hAnsi="宋体" w:eastAsia="彩虹粗仿宋" w:cs="Arial"/>
          <w:sz w:val="24"/>
        </w:rPr>
        <w:t>]</w:t>
      </w:r>
      <w:bookmarkEnd w:id="1"/>
      <w:r>
        <w:rPr>
          <w:rFonts w:hint="eastAsia" w:ascii="彩虹粗仿宋" w:hAnsi="宋体" w:eastAsia="彩虹粗仿宋" w:cs="Arial"/>
          <w:sz w:val="24"/>
        </w:rPr>
        <w:t>12号</w:t>
      </w:r>
    </w:p>
    <w:p w14:paraId="727F5F8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组织形式：股份有限公司</w:t>
      </w:r>
    </w:p>
    <w:p w14:paraId="3FC781D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注册资本：</w:t>
      </w:r>
      <w:r>
        <w:rPr>
          <w:rFonts w:hint="eastAsia" w:ascii="彩虹粗仿宋" w:eastAsia="彩虹粗仿宋"/>
          <w:sz w:val="24"/>
        </w:rPr>
        <w:t>贰仟伍佰亿壹仟零玖拾柒万柒仟肆佰捌拾陆元整</w:t>
      </w:r>
    </w:p>
    <w:p w14:paraId="3903053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存续期间：持续经营</w:t>
      </w:r>
    </w:p>
    <w:p w14:paraId="0D736C3C">
      <w:pPr>
        <w:tabs>
          <w:tab w:val="left" w:pos="540"/>
        </w:tabs>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7323205">
      <w:pPr>
        <w:rPr>
          <w:rFonts w:ascii="彩虹粗仿宋" w:eastAsia="彩虹粗仿宋"/>
          <w:sz w:val="24"/>
        </w:rPr>
      </w:pPr>
    </w:p>
    <w:p w14:paraId="467D74C2">
      <w:pPr>
        <w:pStyle w:val="2"/>
        <w:jc w:val="center"/>
        <w:rPr>
          <w:rFonts w:ascii="彩虹粗仿宋" w:eastAsia="彩虹粗仿宋"/>
          <w:sz w:val="30"/>
        </w:rPr>
      </w:pPr>
      <w:bookmarkStart w:id="2" w:name="_Toc124325886"/>
      <w:r>
        <w:rPr>
          <w:rFonts w:hint="eastAsia" w:ascii="彩虹粗仿宋" w:eastAsia="彩虹粗仿宋"/>
          <w:sz w:val="30"/>
        </w:rPr>
        <w:t>二、基金托管协议的依据、目的和原则</w:t>
      </w:r>
      <w:bookmarkEnd w:id="2"/>
    </w:p>
    <w:p w14:paraId="4B5F85C0">
      <w:pPr>
        <w:adjustRightInd w:val="0"/>
        <w:snapToGrid w:val="0"/>
        <w:ind w:firstLine="480" w:firstLineChars="200"/>
        <w:rPr>
          <w:rFonts w:ascii="彩虹粗仿宋" w:eastAsia="彩虹粗仿宋"/>
          <w:sz w:val="24"/>
          <w:szCs w:val="30"/>
        </w:rPr>
      </w:pPr>
      <w:r>
        <w:rPr>
          <w:rFonts w:hint="eastAsia" w:ascii="彩虹粗仿宋" w:hAnsi="宋体" w:eastAsia="彩虹粗仿宋" w:cs="Arial"/>
          <w:sz w:val="24"/>
        </w:rPr>
        <w:t>（一）订立托管协议的依据</w:t>
      </w:r>
    </w:p>
    <w:p w14:paraId="725B2A5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本协议依据《中华人民共和国证券投资基金法》(以下简称“《基金法》”)等有关法律法规、《基金合同》及其他有关规定制订。</w:t>
      </w:r>
    </w:p>
    <w:p w14:paraId="524E309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（二）订立托管协议的目的</w:t>
      </w:r>
    </w:p>
    <w:p w14:paraId="1F45A210">
      <w:pPr>
        <w:adjustRightInd w:val="0"/>
        <w:snapToGrid w:val="0"/>
        <w:ind w:firstLine="480" w:firstLineChars="200"/>
        <w:rPr>
          <w:rFonts w:ascii="彩虹粗仿宋" w:eastAsia="彩虹粗仿宋"/>
          <w:sz w:val="24"/>
          <w:szCs w:val="30"/>
        </w:rPr>
      </w:pPr>
      <w:r>
        <w:rPr>
          <w:rFonts w:hint="eastAsia" w:ascii="彩虹粗仿宋" w:hAnsi="宋体" w:eastAsia="彩虹粗仿宋" w:cs="Arial"/>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5CA0D4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（三）订立托管协议的原则</w:t>
      </w:r>
    </w:p>
    <w:p w14:paraId="5A40603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基金管理人和基金托管人本着平等自愿、诚实信用、充分保护基金份额持有人合法权益的原则，经协商一致，签订本协议。</w:t>
      </w:r>
    </w:p>
    <w:p w14:paraId="4DE2815A">
      <w:pPr>
        <w:rPr>
          <w:rFonts w:ascii="彩虹粗仿宋" w:eastAsia="彩虹粗仿宋"/>
          <w:sz w:val="24"/>
        </w:rPr>
      </w:pPr>
    </w:p>
    <w:p w14:paraId="08E0AC3D">
      <w:pPr>
        <w:pStyle w:val="2"/>
        <w:jc w:val="center"/>
        <w:rPr>
          <w:rFonts w:ascii="彩虹粗仿宋" w:eastAsia="彩虹粗仿宋"/>
          <w:sz w:val="30"/>
          <w:szCs w:val="24"/>
        </w:rPr>
      </w:pPr>
      <w:bookmarkStart w:id="3" w:name="_Toc124325887"/>
      <w:r>
        <w:rPr>
          <w:rFonts w:hint="eastAsia" w:ascii="彩虹粗仿宋" w:eastAsia="彩虹粗仿宋"/>
          <w:sz w:val="30"/>
        </w:rPr>
        <w:t>三、基金托管人对基金管理人的业务监督和核查</w:t>
      </w:r>
      <w:bookmarkEnd w:id="3"/>
    </w:p>
    <w:p w14:paraId="1798ABD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FB7231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本基金的投资范围主要包括依法发行或上市的股票、债券等金融工具及法律法规或中国证监会允许基金投资的其他金融工具。具体包括：股票（包含中小板、创业板</w:t>
      </w:r>
      <w:r>
        <w:rPr>
          <w:rStyle w:val="50"/>
          <w:rFonts w:hint="default"/>
        </w:rPr>
        <w:t>、</w:t>
      </w:r>
      <w:r>
        <w:rPr>
          <w:rStyle w:val="50"/>
          <w:rFonts w:hint="default"/>
          <w:sz w:val="24"/>
        </w:rPr>
        <w:t>存托凭证</w:t>
      </w:r>
      <w:r>
        <w:rPr>
          <w:rFonts w:hint="eastAsia" w:ascii="彩虹粗仿宋" w:hAnsi="宋体" w:eastAsia="彩虹粗仿宋" w:cs="Arial"/>
          <w:sz w:val="24"/>
        </w:rPr>
        <w:t>及其他依法发行、上市的股票），股指期货、权证，债券（国债、金融债、企业（公司）债、次级债、可转换债券（含分离交易可转债）、央行票据、短期融资券、超短期融资券、中期票据、中小企业私募债、可交换公司债券等）、资产支持证券、债券回购、银行存款等固定收益类资产以及现金，以及法律法规或中国证监会允许基金投资的其他金融工具（但须符合中国证监会的相关规定）。</w:t>
      </w:r>
    </w:p>
    <w:p w14:paraId="51D2F1A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如法律法规或监管机构以后允许基金投资其他品种，基金管理人在履行适当程序后，可以将其纳入投资范围。</w:t>
      </w:r>
    </w:p>
    <w:p w14:paraId="7FF4DC04">
      <w:pPr>
        <w:adjustRightInd w:val="0"/>
        <w:snapToGrid w:val="0"/>
        <w:ind w:firstLine="480" w:firstLineChars="200"/>
        <w:rPr>
          <w:rFonts w:ascii="彩虹粗仿宋" w:eastAsia="彩虹粗仿宋"/>
          <w:sz w:val="24"/>
          <w:szCs w:val="30"/>
        </w:rPr>
      </w:pPr>
      <w:r>
        <w:rPr>
          <w:rFonts w:hint="eastAsia" w:ascii="彩虹粗仿宋" w:hAnsi="宋体" w:eastAsia="彩虹粗仿宋" w:cs="Arial"/>
          <w:sz w:val="24"/>
        </w:rPr>
        <w:t>本基金股票资产占基金资产的比例为0-40%；债券资产占基金资产的比例不低于60%；其中每个交易日日终在扣除股指期货合约需缴纳的交易保证金后，保持现金或者到期日在一年以内的政府债券的比例合计不低于基金资产净值的5%，其中现金不包括结算备付金、存出保证金、应收申购款等，权证、股指期货及其他金融工具的投资比例依照法律法规或监管机构的规定执行。</w:t>
      </w:r>
    </w:p>
    <w:p w14:paraId="714F1AFD">
      <w:pPr>
        <w:adjustRightInd w:val="0"/>
        <w:snapToGrid w:val="0"/>
        <w:ind w:firstLine="480" w:firstLineChars="200"/>
        <w:rPr>
          <w:rFonts w:ascii="彩虹粗仿宋" w:eastAsia="彩虹粗仿宋"/>
          <w:sz w:val="24"/>
        </w:rPr>
      </w:pPr>
      <w:r>
        <w:rPr>
          <w:rFonts w:hint="eastAsia" w:ascii="彩虹粗仿宋" w:eastAsia="彩虹粗仿宋"/>
          <w:sz w:val="24"/>
        </w:rPr>
        <w:t>（二）基金托管人根据有关法律法规的规定及《基金合同》的约定，对基金投资、融资比例进行监督。基金托管人按下述比例和调整期限进行监督：</w:t>
      </w:r>
    </w:p>
    <w:p w14:paraId="466725CC">
      <w:pPr>
        <w:adjustRightInd w:val="0"/>
        <w:snapToGrid w:val="0"/>
        <w:ind w:firstLine="480" w:firstLineChars="200"/>
        <w:rPr>
          <w:rFonts w:ascii="彩虹粗仿宋" w:eastAsia="彩虹粗仿宋"/>
          <w:sz w:val="24"/>
        </w:rPr>
      </w:pPr>
      <w:r>
        <w:rPr>
          <w:rFonts w:hint="eastAsia" w:ascii="彩虹粗仿宋" w:eastAsia="彩虹粗仿宋"/>
          <w:sz w:val="24"/>
        </w:rPr>
        <w:t>（1）本基金的投资组合比例为：股票投资比例为基金资产的0—40%，债券资产占基金资产的比例不低于60%；</w:t>
      </w:r>
    </w:p>
    <w:p w14:paraId="29F1D892">
      <w:pPr>
        <w:adjustRightInd w:val="0"/>
        <w:snapToGrid w:val="0"/>
        <w:ind w:firstLine="480" w:firstLineChars="200"/>
        <w:rPr>
          <w:rFonts w:ascii="彩虹粗仿宋" w:eastAsia="彩虹粗仿宋"/>
          <w:sz w:val="24"/>
        </w:rPr>
      </w:pPr>
      <w:r>
        <w:rPr>
          <w:rFonts w:hint="eastAsia" w:ascii="彩虹粗仿宋" w:eastAsia="彩虹粗仿宋"/>
          <w:sz w:val="24"/>
        </w:rPr>
        <w:t>（2）本基金每个交易日日终在扣除股指期货合约需缴纳的交易保证金后，保持现金或到期日在一年内的政府债券不低于基金资产净值的5%，其中现金不包括结算备付金、存出保证金、应收申购款等；</w:t>
      </w:r>
    </w:p>
    <w:p w14:paraId="134EFB1F">
      <w:pPr>
        <w:adjustRightInd w:val="0"/>
        <w:snapToGrid w:val="0"/>
        <w:ind w:firstLine="480" w:firstLineChars="200"/>
        <w:rPr>
          <w:rFonts w:ascii="彩虹粗仿宋" w:eastAsia="彩虹粗仿宋"/>
          <w:sz w:val="24"/>
        </w:rPr>
      </w:pPr>
      <w:r>
        <w:rPr>
          <w:rFonts w:hint="eastAsia" w:ascii="彩虹粗仿宋" w:eastAsia="彩虹粗仿宋"/>
          <w:sz w:val="24"/>
        </w:rPr>
        <w:t>（3）本基金持有一家公司发行的证券，其市值不超过基金资产净值的10％；</w:t>
      </w:r>
    </w:p>
    <w:p w14:paraId="2FCEC481">
      <w:pPr>
        <w:adjustRightInd w:val="0"/>
        <w:snapToGrid w:val="0"/>
        <w:ind w:firstLine="480" w:firstLineChars="200"/>
        <w:rPr>
          <w:rFonts w:ascii="彩虹粗仿宋" w:eastAsia="彩虹粗仿宋"/>
          <w:sz w:val="24"/>
        </w:rPr>
      </w:pPr>
      <w:r>
        <w:rPr>
          <w:rFonts w:hint="eastAsia" w:ascii="彩虹粗仿宋" w:eastAsia="彩虹粗仿宋"/>
          <w:sz w:val="24"/>
        </w:rPr>
        <w:t>（4）本基金管理人管理的全部基金持有一家公司发行的证券，不超过该证券的10％，但基金托管人的监督义务仅限于由其托管的基金管理人管理的基金；</w:t>
      </w:r>
    </w:p>
    <w:p w14:paraId="0C42B050">
      <w:pPr>
        <w:adjustRightInd w:val="0"/>
        <w:snapToGrid w:val="0"/>
        <w:ind w:firstLine="480" w:firstLineChars="200"/>
        <w:rPr>
          <w:rFonts w:ascii="彩虹粗仿宋" w:eastAsia="彩虹粗仿宋"/>
          <w:sz w:val="24"/>
        </w:rPr>
      </w:pPr>
      <w:r>
        <w:rPr>
          <w:rFonts w:hint="eastAsia" w:ascii="彩虹粗仿宋" w:eastAsia="彩虹粗仿宋"/>
          <w:sz w:val="24"/>
        </w:rPr>
        <w:t>（5）本基金持有的全部权证，其市值不得超过基金资产净值的3％；</w:t>
      </w:r>
    </w:p>
    <w:p w14:paraId="2978D4A7">
      <w:pPr>
        <w:adjustRightInd w:val="0"/>
        <w:snapToGrid w:val="0"/>
        <w:ind w:firstLine="480" w:firstLineChars="200"/>
        <w:rPr>
          <w:rFonts w:ascii="彩虹粗仿宋" w:eastAsia="彩虹粗仿宋"/>
          <w:sz w:val="24"/>
        </w:rPr>
      </w:pPr>
      <w:r>
        <w:rPr>
          <w:rFonts w:hint="eastAsia" w:ascii="彩虹粗仿宋" w:eastAsia="彩虹粗仿宋"/>
          <w:sz w:val="24"/>
        </w:rPr>
        <w:t>（6）本基金管理人管理的全部基金持有的同一权证，不得超过该权证的   10％，但基金托管人的监督义务仅限于由其托管的基金管理人管理的基金；</w:t>
      </w:r>
    </w:p>
    <w:p w14:paraId="44D34DC5">
      <w:pPr>
        <w:adjustRightInd w:val="0"/>
        <w:snapToGrid w:val="0"/>
        <w:ind w:firstLine="480" w:firstLineChars="200"/>
        <w:rPr>
          <w:rFonts w:ascii="彩虹粗仿宋" w:eastAsia="彩虹粗仿宋"/>
          <w:sz w:val="24"/>
        </w:rPr>
      </w:pPr>
      <w:r>
        <w:rPr>
          <w:rFonts w:hint="eastAsia" w:ascii="彩虹粗仿宋" w:eastAsia="彩虹粗仿宋"/>
          <w:sz w:val="24"/>
        </w:rPr>
        <w:t>（7）本基金在任何交易日买入权证的总金额，不得超过上一交易日基金资产净值的0.5％；</w:t>
      </w:r>
    </w:p>
    <w:p w14:paraId="2AEAE423">
      <w:pPr>
        <w:adjustRightInd w:val="0"/>
        <w:snapToGrid w:val="0"/>
        <w:ind w:firstLine="480" w:firstLineChars="200"/>
        <w:rPr>
          <w:rFonts w:ascii="彩虹粗仿宋" w:eastAsia="彩虹粗仿宋"/>
          <w:sz w:val="24"/>
        </w:rPr>
      </w:pPr>
      <w:r>
        <w:rPr>
          <w:rFonts w:hint="eastAsia" w:ascii="彩虹粗仿宋" w:eastAsia="彩虹粗仿宋"/>
          <w:sz w:val="24"/>
        </w:rPr>
        <w:t>（8）本基金投资于同一原始权益人的各类资产支持证券的比例，不得超过基金资产净值的10％；</w:t>
      </w:r>
    </w:p>
    <w:p w14:paraId="09F4AD9C">
      <w:pPr>
        <w:adjustRightInd w:val="0"/>
        <w:snapToGrid w:val="0"/>
        <w:ind w:firstLine="480" w:firstLineChars="200"/>
        <w:rPr>
          <w:rFonts w:ascii="彩虹粗仿宋" w:eastAsia="彩虹粗仿宋"/>
          <w:sz w:val="24"/>
        </w:rPr>
      </w:pPr>
      <w:r>
        <w:rPr>
          <w:rFonts w:hint="eastAsia" w:ascii="彩虹粗仿宋" w:eastAsia="彩虹粗仿宋"/>
          <w:sz w:val="24"/>
        </w:rPr>
        <w:t>（9）本基金持有的全部资产支持证券，其市值不得超过基金资产净值的20％；</w:t>
      </w:r>
    </w:p>
    <w:p w14:paraId="1B7DCDA0">
      <w:pPr>
        <w:adjustRightInd w:val="0"/>
        <w:snapToGrid w:val="0"/>
        <w:ind w:firstLine="480" w:firstLineChars="200"/>
        <w:rPr>
          <w:rFonts w:ascii="彩虹粗仿宋" w:eastAsia="彩虹粗仿宋"/>
          <w:sz w:val="24"/>
        </w:rPr>
      </w:pPr>
      <w:r>
        <w:rPr>
          <w:rFonts w:hint="eastAsia" w:ascii="彩虹粗仿宋" w:eastAsia="彩虹粗仿宋"/>
          <w:sz w:val="24"/>
        </w:rPr>
        <w:t>（10）本基金持有的同一(指同一信用级别)资产支持证券的比例，不得超过该资产支持证券规模的10％；</w:t>
      </w:r>
    </w:p>
    <w:p w14:paraId="0E87FB8F">
      <w:pPr>
        <w:adjustRightInd w:val="0"/>
        <w:snapToGrid w:val="0"/>
        <w:ind w:firstLine="480" w:firstLineChars="200"/>
        <w:rPr>
          <w:rFonts w:ascii="彩虹粗仿宋" w:eastAsia="彩虹粗仿宋"/>
          <w:sz w:val="24"/>
        </w:rPr>
      </w:pPr>
      <w:r>
        <w:rPr>
          <w:rFonts w:hint="eastAsia" w:ascii="彩虹粗仿宋" w:eastAsia="彩虹粗仿宋"/>
          <w:sz w:val="24"/>
        </w:rPr>
        <w:t>（11）本基金管理人管理的全部基金投资于同一原始权益人的各类资产支持证券，不得超过其各类资产支持证券合计规模的10％，但基金托管人的监督义务仅限于由其托管的基金管理人管理的基金；</w:t>
      </w:r>
    </w:p>
    <w:p w14:paraId="1B9229F3">
      <w:pPr>
        <w:adjustRightInd w:val="0"/>
        <w:snapToGrid w:val="0"/>
        <w:ind w:firstLine="480" w:firstLineChars="200"/>
        <w:rPr>
          <w:rFonts w:ascii="彩虹粗仿宋" w:eastAsia="彩虹粗仿宋"/>
          <w:sz w:val="24"/>
        </w:rPr>
      </w:pPr>
      <w:r>
        <w:rPr>
          <w:rFonts w:hint="eastAsia" w:ascii="彩虹粗仿宋" w:eastAsia="彩虹粗仿宋"/>
          <w:sz w:val="24"/>
        </w:rPr>
        <w:t>（12）本基金应投资于信用级别评级为BBB以上(含BBB)的资产支持证券。基金持有资产支持证券期间，如果其信用等级下降、不再符合投资标准，应在评级报告发布之日起3个月内予以全部卖出；</w:t>
      </w:r>
    </w:p>
    <w:p w14:paraId="658988DB">
      <w:pPr>
        <w:adjustRightInd w:val="0"/>
        <w:snapToGrid w:val="0"/>
        <w:ind w:firstLine="480" w:firstLineChars="200"/>
        <w:rPr>
          <w:rFonts w:ascii="彩虹粗仿宋" w:eastAsia="彩虹粗仿宋"/>
          <w:sz w:val="24"/>
        </w:rPr>
      </w:pPr>
      <w:r>
        <w:rPr>
          <w:rFonts w:hint="eastAsia" w:ascii="彩虹粗仿宋" w:eastAsia="彩虹粗仿宋"/>
          <w:sz w:val="24"/>
        </w:rPr>
        <w:t>（13）基金财产参与股票发行申购，本基金所申报的金额不超过本基金的总资产，本基金所申报的股票数量不超过拟发行股票公司本次发行股票的总量；</w:t>
      </w:r>
    </w:p>
    <w:p w14:paraId="68399109">
      <w:pPr>
        <w:adjustRightInd w:val="0"/>
        <w:snapToGrid w:val="0"/>
        <w:ind w:firstLine="480" w:firstLineChars="200"/>
        <w:rPr>
          <w:rFonts w:ascii="彩虹粗仿宋" w:eastAsia="彩虹粗仿宋"/>
          <w:sz w:val="24"/>
        </w:rPr>
      </w:pPr>
      <w:r>
        <w:rPr>
          <w:rFonts w:hint="eastAsia" w:ascii="彩虹粗仿宋" w:eastAsia="彩虹粗仿宋"/>
          <w:sz w:val="24"/>
        </w:rPr>
        <w:t>（14）本基金进入全国银行间同业市场进行债券回购的资金余额不得超过基金资产净值的40%；</w:t>
      </w:r>
    </w:p>
    <w:p w14:paraId="3B9DB2F9">
      <w:pPr>
        <w:adjustRightInd w:val="0"/>
        <w:snapToGrid w:val="0"/>
        <w:ind w:firstLine="480" w:firstLineChars="200"/>
        <w:rPr>
          <w:rFonts w:ascii="彩虹粗仿宋" w:eastAsia="彩虹粗仿宋"/>
          <w:sz w:val="24"/>
        </w:rPr>
      </w:pPr>
      <w:r>
        <w:rPr>
          <w:rFonts w:hint="eastAsia" w:ascii="彩虹粗仿宋" w:eastAsia="彩虹粗仿宋"/>
          <w:sz w:val="24"/>
        </w:rPr>
        <w:t>（15）本基金投资股指期货，遵循以下中国证监会规定的投资限制：</w:t>
      </w:r>
    </w:p>
    <w:p w14:paraId="5E51386C">
      <w:pPr>
        <w:adjustRightInd w:val="0"/>
        <w:snapToGrid w:val="0"/>
        <w:ind w:firstLine="480" w:firstLineChars="200"/>
        <w:rPr>
          <w:rFonts w:ascii="彩虹粗仿宋" w:eastAsia="彩虹粗仿宋"/>
          <w:sz w:val="24"/>
        </w:rPr>
      </w:pPr>
      <w:r>
        <w:rPr>
          <w:rFonts w:hint="eastAsia" w:ascii="彩虹粗仿宋" w:eastAsia="彩虹粗仿宋"/>
          <w:sz w:val="24"/>
        </w:rPr>
        <w:t>1）本基金在任何交易日日终，持有的买入股指期货合约价值不得超过基金资产净值的10%；</w:t>
      </w:r>
    </w:p>
    <w:p w14:paraId="2C585C24">
      <w:pPr>
        <w:adjustRightInd w:val="0"/>
        <w:snapToGrid w:val="0"/>
        <w:ind w:firstLine="480" w:firstLineChars="200"/>
        <w:rPr>
          <w:rFonts w:ascii="彩虹粗仿宋" w:eastAsia="彩虹粗仿宋"/>
          <w:sz w:val="24"/>
        </w:rPr>
      </w:pPr>
      <w:r>
        <w:rPr>
          <w:rFonts w:hint="eastAsia" w:ascii="彩虹粗仿宋" w:eastAsia="彩虹粗仿宋"/>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63F12A1F">
      <w:pPr>
        <w:adjustRightInd w:val="0"/>
        <w:snapToGrid w:val="0"/>
        <w:ind w:firstLine="480" w:firstLineChars="200"/>
        <w:rPr>
          <w:rFonts w:ascii="彩虹粗仿宋" w:eastAsia="彩虹粗仿宋"/>
          <w:sz w:val="24"/>
        </w:rPr>
      </w:pPr>
      <w:r>
        <w:rPr>
          <w:rFonts w:hint="eastAsia" w:ascii="彩虹粗仿宋" w:eastAsia="彩虹粗仿宋"/>
          <w:sz w:val="24"/>
        </w:rPr>
        <w:t>3）本基金在任何交易日日终，持有的卖出期货合约价值不得超过基金持有的股票总市值的20%；</w:t>
      </w:r>
    </w:p>
    <w:p w14:paraId="2C5C0106">
      <w:pPr>
        <w:adjustRightInd w:val="0"/>
        <w:snapToGrid w:val="0"/>
        <w:ind w:firstLine="480" w:firstLineChars="200"/>
        <w:rPr>
          <w:rFonts w:ascii="彩虹粗仿宋" w:eastAsia="彩虹粗仿宋"/>
          <w:sz w:val="24"/>
        </w:rPr>
      </w:pPr>
      <w:r>
        <w:rPr>
          <w:rFonts w:hint="eastAsia" w:ascii="彩虹粗仿宋" w:eastAsia="彩虹粗仿宋"/>
          <w:sz w:val="24"/>
        </w:rPr>
        <w:t>本基金管理人应当按照中国金融期货交易所要求的内容、格式与时限向交易所报告所交易和持有的卖出期货合约情况、交易目的及对应的证券资产情况等；</w:t>
      </w:r>
    </w:p>
    <w:p w14:paraId="2E4DD3A8">
      <w:pPr>
        <w:adjustRightInd w:val="0"/>
        <w:snapToGrid w:val="0"/>
        <w:ind w:firstLine="480" w:firstLineChars="200"/>
        <w:rPr>
          <w:rFonts w:ascii="彩虹粗仿宋" w:eastAsia="彩虹粗仿宋"/>
          <w:sz w:val="24"/>
        </w:rPr>
      </w:pPr>
      <w:r>
        <w:rPr>
          <w:rFonts w:hint="eastAsia" w:ascii="彩虹粗仿宋" w:eastAsia="彩虹粗仿宋"/>
          <w:sz w:val="24"/>
        </w:rPr>
        <w:t>4）本基金所持有的股票市值和买入、卖出股指期货合约价值，合计（轧差计算）应当符合基金合同关于股票投资比例的有关约定，即占基金资产的比例为0～40%；</w:t>
      </w:r>
    </w:p>
    <w:p w14:paraId="73120190">
      <w:pPr>
        <w:adjustRightInd w:val="0"/>
        <w:snapToGrid w:val="0"/>
        <w:ind w:firstLine="480" w:firstLineChars="200"/>
        <w:rPr>
          <w:rFonts w:ascii="彩虹粗仿宋" w:eastAsia="彩虹粗仿宋"/>
          <w:sz w:val="24"/>
        </w:rPr>
      </w:pPr>
      <w:r>
        <w:rPr>
          <w:rFonts w:hint="eastAsia" w:ascii="彩虹粗仿宋" w:eastAsia="彩虹粗仿宋"/>
          <w:sz w:val="24"/>
        </w:rPr>
        <w:t>5）本基金在任何交易日内交易（不包括平仓）的股指期货合约的成交金额不得超过上一交易日股票资产的20%；</w:t>
      </w:r>
    </w:p>
    <w:p w14:paraId="4743C808">
      <w:pPr>
        <w:adjustRightInd w:val="0"/>
        <w:snapToGrid w:val="0"/>
        <w:ind w:firstLine="480" w:firstLineChars="200"/>
        <w:rPr>
          <w:rFonts w:ascii="彩虹粗仿宋" w:eastAsia="彩虹粗仿宋"/>
          <w:sz w:val="24"/>
        </w:rPr>
      </w:pPr>
      <w:r>
        <w:rPr>
          <w:rFonts w:hint="eastAsia" w:ascii="彩虹粗仿宋" w:eastAsia="彩虹粗仿宋"/>
          <w:sz w:val="24"/>
        </w:rPr>
        <w:t>（16）本基金持有单只中小企业私募债券，其市值不得超过本基金资产净值的10%；</w:t>
      </w:r>
    </w:p>
    <w:p w14:paraId="135AA805">
      <w:pPr>
        <w:adjustRightInd w:val="0"/>
        <w:snapToGrid w:val="0"/>
        <w:ind w:firstLine="480" w:firstLineChars="200"/>
        <w:rPr>
          <w:rFonts w:ascii="彩虹粗仿宋" w:eastAsia="彩虹粗仿宋"/>
          <w:sz w:val="24"/>
        </w:rPr>
      </w:pPr>
      <w:r>
        <w:rPr>
          <w:rFonts w:hint="eastAsia" w:ascii="彩虹粗仿宋" w:eastAsia="彩虹粗仿宋"/>
          <w:sz w:val="24"/>
        </w:rPr>
        <w:t xml:space="preserve">（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基金托管人的监督义务仅限于由其托管的基金管理人管理的投资组合；    </w:t>
      </w:r>
    </w:p>
    <w:p w14:paraId="2BCACFD8">
      <w:pPr>
        <w:adjustRightInd w:val="0"/>
        <w:snapToGrid w:val="0"/>
        <w:ind w:firstLine="480" w:firstLineChars="200"/>
        <w:rPr>
          <w:rFonts w:ascii="彩虹粗仿宋" w:eastAsia="彩虹粗仿宋"/>
          <w:sz w:val="24"/>
        </w:rPr>
      </w:pPr>
      <w:r>
        <w:rPr>
          <w:rFonts w:hint="eastAsia" w:ascii="彩虹粗仿宋" w:eastAsia="彩虹粗仿宋"/>
          <w:sz w:val="24"/>
        </w:rPr>
        <w:t>（18）本基金主动投资于流动性受限资产的市值合计不得超过基金资产净值的15%，因证券市场波动、上市公司股票停牌、基金规模变动等基金管理人之外的因素致使基金不符合前述比例限制的，基金管理人不得主动新增流动性受限资产的投资；</w:t>
      </w:r>
    </w:p>
    <w:p w14:paraId="56BA49C0">
      <w:pPr>
        <w:adjustRightInd w:val="0"/>
        <w:snapToGrid w:val="0"/>
        <w:ind w:firstLine="480" w:firstLineChars="200"/>
        <w:rPr>
          <w:rFonts w:ascii="彩虹粗仿宋" w:eastAsia="彩虹粗仿宋"/>
          <w:sz w:val="24"/>
        </w:rPr>
      </w:pPr>
      <w:r>
        <w:rPr>
          <w:rFonts w:hint="eastAsia" w:ascii="彩虹粗仿宋" w:eastAsia="彩虹粗仿宋"/>
          <w:sz w:val="24"/>
        </w:rPr>
        <w:t>（19）本基金持有的所有流通受限证券，其公允价值不得超过本基金资产净值的</w:t>
      </w:r>
      <w:r>
        <w:rPr>
          <w:rFonts w:ascii="彩虹粗仿宋" w:eastAsia="彩虹粗仿宋"/>
          <w:sz w:val="24"/>
        </w:rPr>
        <w:t>15%</w:t>
      </w:r>
      <w:r>
        <w:rPr>
          <w:rFonts w:hint="eastAsia" w:ascii="彩虹粗仿宋" w:eastAsia="彩虹粗仿宋"/>
          <w:sz w:val="24"/>
        </w:rPr>
        <w:t>；本基金持有的同一流通受限证券，其公允价值不得超过本基金资产净值的10 %；</w:t>
      </w:r>
    </w:p>
    <w:p w14:paraId="45A180B4">
      <w:pPr>
        <w:adjustRightInd w:val="0"/>
        <w:snapToGrid w:val="0"/>
        <w:ind w:firstLine="480" w:firstLineChars="200"/>
        <w:rPr>
          <w:rFonts w:ascii="彩虹粗仿宋" w:eastAsia="彩虹粗仿宋"/>
          <w:sz w:val="24"/>
        </w:rPr>
      </w:pPr>
      <w:r>
        <w:rPr>
          <w:rFonts w:hint="eastAsia" w:ascii="彩虹粗仿宋" w:eastAsia="彩虹粗仿宋"/>
          <w:sz w:val="24"/>
        </w:rPr>
        <w:t>（20）基金资产总值不得超过基金资产净值的140%；</w:t>
      </w:r>
    </w:p>
    <w:p w14:paraId="1D1A0E7B">
      <w:pPr>
        <w:adjustRightInd w:val="0"/>
        <w:snapToGrid w:val="0"/>
        <w:ind w:firstLine="480" w:firstLineChars="200"/>
        <w:rPr>
          <w:rFonts w:ascii="彩虹粗仿宋" w:eastAsia="彩虹粗仿宋"/>
          <w:sz w:val="24"/>
        </w:rPr>
      </w:pPr>
      <w:r>
        <w:rPr>
          <w:rFonts w:hint="eastAsia" w:ascii="彩虹粗仿宋" w:eastAsia="彩虹粗仿宋"/>
          <w:sz w:val="24"/>
        </w:rPr>
        <w:t>（21）本基金与私募类证券资管产品及中国证监会认定的其他主体为交易对手开展逆回购交易的，可接受质押品的资质要求应当与基金合同约定的投资范围保持一致；</w:t>
      </w:r>
    </w:p>
    <w:p w14:paraId="4C1097C6">
      <w:pPr>
        <w:adjustRightInd w:val="0"/>
        <w:snapToGrid w:val="0"/>
        <w:ind w:firstLine="480" w:firstLineChars="200"/>
        <w:rPr>
          <w:sz w:val="24"/>
        </w:rPr>
      </w:pPr>
      <w:r>
        <w:rPr>
          <w:rFonts w:hint="eastAsia" w:ascii="彩虹粗仿宋" w:eastAsia="彩虹粗仿宋"/>
          <w:sz w:val="24"/>
        </w:rPr>
        <w:t>（22）</w:t>
      </w:r>
      <w:r>
        <w:rPr>
          <w:rFonts w:hint="eastAsia"/>
          <w:sz w:val="24"/>
        </w:rPr>
        <w:t>本基金投资存托凭证的比例限制依照境内上市交易的股票执行，与境内上市交易的股票合并计算；</w:t>
      </w:r>
    </w:p>
    <w:p w14:paraId="5C43E1AF">
      <w:pPr>
        <w:adjustRightInd w:val="0"/>
        <w:snapToGrid w:val="0"/>
        <w:ind w:firstLine="480" w:firstLineChars="200"/>
        <w:rPr>
          <w:rFonts w:ascii="彩虹粗仿宋" w:eastAsia="彩虹粗仿宋"/>
          <w:sz w:val="24"/>
        </w:rPr>
      </w:pPr>
      <w:r>
        <w:rPr>
          <w:rFonts w:hint="eastAsia" w:ascii="彩虹粗仿宋" w:eastAsia="彩虹粗仿宋"/>
          <w:sz w:val="24"/>
        </w:rPr>
        <w:t>（23）法律法规及中国证监会规定的和《基金合同》约定的其他投资限制。</w:t>
      </w:r>
    </w:p>
    <w:p w14:paraId="5280D7ED">
      <w:pPr>
        <w:adjustRightInd w:val="0"/>
        <w:snapToGrid w:val="0"/>
        <w:ind w:firstLine="480" w:firstLineChars="200"/>
        <w:rPr>
          <w:rFonts w:ascii="彩虹粗仿宋" w:eastAsia="彩虹粗仿宋"/>
          <w:sz w:val="24"/>
        </w:rPr>
      </w:pPr>
      <w:r>
        <w:rPr>
          <w:rFonts w:hint="eastAsia" w:ascii="彩虹粗仿宋" w:eastAsia="彩虹粗仿宋"/>
          <w:sz w:val="24"/>
        </w:rPr>
        <w:t>如果法律法规对上述投资组合比例限制进行变更的，以变更后的规定为准。法律法规或监管部门取消上述限制，如适用于本基金，则本基金投资不再受相关限制，但须提前公告，</w:t>
      </w:r>
      <w:r>
        <w:rPr>
          <w:rFonts w:ascii="彩虹粗仿宋" w:eastAsia="彩虹粗仿宋"/>
          <w:sz w:val="24"/>
        </w:rPr>
        <w:t>不需要经基金份额持有人大会审议</w:t>
      </w:r>
      <w:r>
        <w:rPr>
          <w:rFonts w:hint="eastAsia" w:ascii="彩虹粗仿宋" w:eastAsia="彩虹粗仿宋"/>
          <w:sz w:val="24"/>
        </w:rPr>
        <w:t>。</w:t>
      </w:r>
    </w:p>
    <w:p w14:paraId="105428F5">
      <w:pPr>
        <w:adjustRightInd w:val="0"/>
        <w:snapToGrid w:val="0"/>
        <w:ind w:firstLine="480" w:firstLineChars="200"/>
        <w:rPr>
          <w:rFonts w:ascii="彩虹粗仿宋" w:eastAsia="彩虹粗仿宋"/>
          <w:sz w:val="24"/>
        </w:rPr>
      </w:pPr>
      <w:r>
        <w:rPr>
          <w:rFonts w:hint="eastAsia" w:ascii="彩虹粗仿宋" w:eastAsia="彩虹粗仿宋"/>
          <w:sz w:val="24"/>
        </w:rPr>
        <w:t>除上述第（2）、（12）、（18）、（21）项外，因证券</w:t>
      </w:r>
      <w:r>
        <w:rPr>
          <w:rFonts w:hint="eastAsia" w:ascii="彩虹粗仿宋" w:eastAsia="彩虹粗仿宋"/>
          <w:bCs/>
          <w:sz w:val="24"/>
        </w:rPr>
        <w:t>、期货</w:t>
      </w:r>
      <w:r>
        <w:rPr>
          <w:rFonts w:hint="eastAsia" w:ascii="彩虹粗仿宋" w:eastAsia="彩虹粗仿宋"/>
          <w:sz w:val="24"/>
        </w:rPr>
        <w:t>市场波动、证券发行人合并、基金规模变动等基金管理人之外的因素致使基金投资比例不符合上述规定投资比例的，基金管理人应当在10个交易日内进行调整，但中国证监会规定的特殊情形除外。</w:t>
      </w:r>
      <w:r>
        <w:rPr>
          <w:rFonts w:hint="eastAsia" w:ascii="彩虹粗仿宋" w:eastAsia="彩虹粗仿宋"/>
          <w:bCs/>
          <w:sz w:val="24"/>
        </w:rPr>
        <w:t>法律法规或监管部门另有规定时，从其规定。</w:t>
      </w:r>
    </w:p>
    <w:p w14:paraId="09F502CD">
      <w:pPr>
        <w:adjustRightInd w:val="0"/>
        <w:snapToGrid w:val="0"/>
        <w:ind w:firstLine="480" w:firstLineChars="200"/>
        <w:rPr>
          <w:rFonts w:ascii="彩虹粗仿宋" w:eastAsia="彩虹粗仿宋"/>
          <w:sz w:val="24"/>
        </w:rPr>
      </w:pPr>
      <w:r>
        <w:rPr>
          <w:rFonts w:hint="eastAsia" w:ascii="彩虹粗仿宋" w:eastAsia="彩虹粗仿宋"/>
          <w:sz w:val="24"/>
        </w:rPr>
        <w:t>基金管理人应当自基金合同生效之日起</w:t>
      </w:r>
      <w:r>
        <w:rPr>
          <w:rFonts w:ascii="彩虹粗仿宋" w:eastAsia="彩虹粗仿宋"/>
          <w:sz w:val="24"/>
        </w:rPr>
        <w:t>6</w:t>
      </w:r>
      <w:r>
        <w:rPr>
          <w:rFonts w:hint="eastAsia" w:ascii="彩虹粗仿宋" w:eastAsia="彩虹粗仿宋"/>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8B94D2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（三）基金托管人</w:t>
      </w:r>
      <w:bookmarkStart w:id="4" w:name="OLE_LINK1"/>
      <w:r>
        <w:rPr>
          <w:rFonts w:hint="eastAsia" w:ascii="彩虹粗仿宋" w:hAnsi="宋体" w:eastAsia="彩虹粗仿宋" w:cs="Arial"/>
          <w:sz w:val="24"/>
        </w:rPr>
        <w:t>根据有关法律法规的规定及《基金合同》的约定，</w:t>
      </w:r>
      <w:bookmarkEnd w:id="4"/>
      <w:r>
        <w:rPr>
          <w:rFonts w:hint="eastAsia" w:ascii="彩虹粗仿宋" w:hAnsi="宋体" w:eastAsia="彩虹粗仿宋" w:cs="Arial"/>
          <w:sz w:val="24"/>
        </w:rPr>
        <w:t>对本托管协议第十五条第九款基金投资禁止行为通过事后监督方式进行监督。</w:t>
      </w:r>
    </w:p>
    <w:p w14:paraId="3B3CF07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履行信息披露义务。</w:t>
      </w:r>
    </w:p>
    <w:p w14:paraId="49560E93">
      <w:pPr>
        <w:adjustRightInd w:val="0"/>
        <w:snapToGrid w:val="0"/>
        <w:ind w:firstLine="480" w:firstLineChars="200"/>
        <w:rPr>
          <w:rFonts w:ascii="彩虹粗仿宋" w:hAnsi="宋体" w:eastAsia="彩虹粗仿宋" w:cs="Arial"/>
        </w:rPr>
      </w:pPr>
      <w:r>
        <w:rPr>
          <w:rFonts w:hint="eastAsia" w:ascii="彩虹粗仿宋" w:hAnsi="宋体" w:eastAsia="彩虹粗仿宋" w:cs="Arial"/>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288AE51">
      <w:pPr>
        <w:adjustRightInd w:val="0"/>
        <w:snapToGrid w:val="0"/>
        <w:ind w:firstLine="480" w:firstLineChars="200"/>
        <w:rPr>
          <w:rFonts w:ascii="彩虹粗仿宋" w:hAnsi="宋体" w:eastAsia="彩虹粗仿宋" w:cs="Arial"/>
        </w:rPr>
      </w:pPr>
      <w:r>
        <w:rPr>
          <w:rFonts w:hint="eastAsia" w:ascii="彩虹粗仿宋" w:hAnsi="宋体" w:eastAsia="彩虹粗仿宋" w:cs="Arial"/>
          <w:color w:val="000000"/>
          <w:sz w:val="24"/>
        </w:rPr>
        <w:t>基金管理人负责对交易对手的资信控制，按银行间债券市场的交易规则进行交易，并</w:t>
      </w:r>
      <w:r>
        <w:rPr>
          <w:rFonts w:hint="eastAsia" w:ascii="彩虹粗仿宋" w:eastAsia="彩虹粗仿宋"/>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hint="eastAsia" w:ascii="彩虹粗仿宋" w:hAnsi="宋体" w:eastAsia="彩虹粗仿宋" w:cs="Arial"/>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C5314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（五）基金托管人根据有关法律法规的规定及《基金合同》的约定，对基金管理人投资流通受限证券进行监督。</w:t>
      </w:r>
    </w:p>
    <w:p w14:paraId="419E6A37">
      <w:pPr>
        <w:adjustRightInd w:val="0"/>
        <w:snapToGrid w:val="0"/>
        <w:ind w:firstLine="480" w:firstLineChars="200"/>
        <w:rPr>
          <w:rFonts w:ascii="彩虹粗仿宋" w:hAnsi="宋体" w:eastAsia="彩虹粗仿宋" w:cs="Arial"/>
          <w:sz w:val="24"/>
        </w:rPr>
      </w:pPr>
      <w:r>
        <w:rPr>
          <w:rFonts w:hint="eastAsia" w:ascii="彩虹粗仿宋" w:eastAsia="彩虹粗仿宋"/>
          <w:sz w:val="24"/>
        </w:rPr>
        <w:t>基金管理人投资流通受限证券，应事先根据中国证监会相关规定，明确基金投资流通受限证券的比例，</w:t>
      </w:r>
      <w:r>
        <w:rPr>
          <w:rFonts w:hint="eastAsia" w:ascii="彩虹粗仿宋" w:hAnsi="宋体" w:eastAsia="彩虹粗仿宋" w:cs="Arial"/>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A66FB4C">
      <w:pPr>
        <w:adjustRightInd w:val="0"/>
        <w:snapToGrid w:val="0"/>
        <w:ind w:firstLine="480" w:firstLineChars="200"/>
        <w:rPr>
          <w:rFonts w:ascii="彩虹粗仿宋" w:eastAsia="彩虹粗仿宋"/>
          <w:sz w:val="24"/>
        </w:rPr>
      </w:pPr>
      <w:r>
        <w:rPr>
          <w:rFonts w:hint="eastAsia" w:ascii="彩虹粗仿宋" w:hAnsi="宋体" w:eastAsia="彩虹粗仿宋" w:cs="Arial"/>
          <w:sz w:val="24"/>
        </w:rPr>
        <w:t>1.本基金</w:t>
      </w:r>
      <w:r>
        <w:rPr>
          <w:rFonts w:hint="eastAsia" w:ascii="彩虹粗仿宋" w:eastAsia="彩虹粗仿宋"/>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66EF317">
      <w:pPr>
        <w:ind w:firstLine="480" w:firstLineChars="200"/>
        <w:rPr>
          <w:rFonts w:ascii="彩虹粗仿宋" w:eastAsia="彩虹粗仿宋"/>
          <w:sz w:val="24"/>
        </w:rPr>
      </w:pPr>
      <w:r>
        <w:rPr>
          <w:rFonts w:hint="eastAsia" w:ascii="彩虹粗仿宋" w:hAnsi="宋体" w:eastAsia="彩虹粗仿宋" w:cs="Arial"/>
          <w:sz w:val="24"/>
        </w:rPr>
        <w:t>本基金</w:t>
      </w:r>
      <w:r>
        <w:rPr>
          <w:rFonts w:hint="eastAsia" w:ascii="彩虹粗仿宋" w:eastAsia="彩虹粗仿宋"/>
          <w:sz w:val="24"/>
        </w:rPr>
        <w:t>投资的流通受限证券限于可由中国证券登记结算有限责任公司或中央国债登记结算有限责任公司负责登记和存管，并可在证券交易所或全国银行间债券市场交易的证券。</w:t>
      </w:r>
    </w:p>
    <w:p w14:paraId="39DD0F78">
      <w:pPr>
        <w:adjustRightInd w:val="0"/>
        <w:snapToGrid w:val="0"/>
        <w:ind w:firstLine="480" w:firstLineChars="200"/>
        <w:rPr>
          <w:rFonts w:ascii="彩虹粗仿宋" w:eastAsia="彩虹粗仿宋"/>
          <w:sz w:val="24"/>
        </w:rPr>
      </w:pPr>
      <w:r>
        <w:rPr>
          <w:rFonts w:hint="eastAsia" w:ascii="彩虹粗仿宋" w:hAnsi="宋体" w:eastAsia="彩虹粗仿宋" w:cs="Arial"/>
          <w:sz w:val="24"/>
        </w:rPr>
        <w:t>本基金</w:t>
      </w:r>
      <w:r>
        <w:rPr>
          <w:rFonts w:hint="eastAsia" w:ascii="彩虹粗仿宋" w:eastAsia="彩虹粗仿宋"/>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EDCB71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本基金投资流通受限证券，不得预付任何形式的保证金。</w:t>
      </w:r>
    </w:p>
    <w:p w14:paraId="6136C29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54E36D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C1BF7E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1A07A0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（1）中国证监会批准发行非公开发行股票的批准文件。</w:t>
      </w:r>
    </w:p>
    <w:p w14:paraId="797E6AF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（2）非公开发行股票有关发行数量、发行价格、锁定期等发行资料。</w:t>
      </w:r>
    </w:p>
    <w:p w14:paraId="651E854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（3）非公开发行股票发行人与中国证券登记结算有限责任公司或中央国债登记结算有限责任公司签订的证券登记及服务协议。</w:t>
      </w:r>
    </w:p>
    <w:p w14:paraId="447D52D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（4）基金拟认购的数量、价格、总成本、账面价值。</w:t>
      </w:r>
    </w:p>
    <w:p w14:paraId="2962E76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1C2585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本基金有关投资流通受限证券比例如违反有关限制规定，在合理期限内未能进行及时调整，基金管理人应按规定编制临时报告书，予以公告。</w:t>
      </w:r>
    </w:p>
    <w:p w14:paraId="5055F1C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5.基金托管人根据有关规定有权对基金管理人进行以下事项监督：</w:t>
      </w:r>
    </w:p>
    <w:p w14:paraId="1F28625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（1）本基金投资流通受限证券时的法律法规遵守情况。</w:t>
      </w:r>
    </w:p>
    <w:p w14:paraId="6BC1C56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（2）在基金投资流通受限证券管理工作方面有关制度、流动性风险处置预案的建立与完善情况。</w:t>
      </w:r>
    </w:p>
    <w:p w14:paraId="4895A5E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（3）有关比例限制的执行情况。</w:t>
      </w:r>
    </w:p>
    <w:p w14:paraId="0FE028A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（4）信息披露情况。</w:t>
      </w:r>
    </w:p>
    <w:p w14:paraId="1B9CEAF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6.相关法律法规对基金投资流通受限证券有新规定的，从其规定。</w:t>
      </w:r>
    </w:p>
    <w:p w14:paraId="2D9446A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71555E0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3336ED8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（七）基金托管人根据有关法律法规的规定及《基金合同》的约定，对</w:t>
      </w:r>
      <w:r>
        <w:rPr>
          <w:rFonts w:hint="eastAsia" w:ascii="彩虹粗仿宋" w:eastAsia="彩虹粗仿宋"/>
          <w:sz w:val="24"/>
        </w:rPr>
        <w:t>各类基金份额的</w:t>
      </w:r>
      <w:r>
        <w:rPr>
          <w:rFonts w:hint="eastAsia" w:ascii="彩虹粗仿宋" w:hAnsi="宋体" w:eastAsia="彩虹粗仿宋" w:cs="Arial"/>
          <w:sz w:val="24"/>
        </w:rPr>
        <w:t>基金资产净值计算、</w:t>
      </w:r>
      <w:r>
        <w:rPr>
          <w:rFonts w:hint="eastAsia" w:ascii="彩虹粗仿宋" w:eastAsia="彩虹粗仿宋"/>
          <w:sz w:val="24"/>
        </w:rPr>
        <w:t>各类基金份额的</w:t>
      </w:r>
      <w:r>
        <w:rPr>
          <w:rFonts w:hint="eastAsia" w:ascii="彩虹粗仿宋" w:hAnsi="宋体" w:eastAsia="彩虹粗仿宋" w:cs="Arial"/>
          <w:sz w:val="24"/>
        </w:rPr>
        <w:t>基金份额净值计算、应收资金到账、基金费用开支及收入确定、基金收益分配、相关信息披露、基金宣传推介材料中登载基金业绩表现数据等进行监督和核查。</w:t>
      </w:r>
    </w:p>
    <w:p w14:paraId="32E5FF5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75765B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CEE99F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（十）若基金托管人发现基金管理人依据交易程序已经生效的指令违反法律、行政法规和其他有关规定，或者违反《基金合同》约定的，应当立即通知基金管理人，由此造成的损失由基金管理人承担。</w:t>
      </w:r>
    </w:p>
    <w:p w14:paraId="1CF7A28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65FCAA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十二）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7DB6B13E">
      <w:pPr>
        <w:rPr>
          <w:rFonts w:ascii="彩虹粗仿宋" w:eastAsia="彩虹粗仿宋"/>
          <w:sz w:val="24"/>
        </w:rPr>
      </w:pPr>
    </w:p>
    <w:p w14:paraId="17391207">
      <w:pPr>
        <w:pStyle w:val="2"/>
        <w:jc w:val="center"/>
        <w:rPr>
          <w:rFonts w:ascii="彩虹粗仿宋" w:eastAsia="彩虹粗仿宋"/>
          <w:sz w:val="30"/>
        </w:rPr>
      </w:pPr>
      <w:bookmarkStart w:id="5" w:name="_Toc118972648"/>
      <w:bookmarkStart w:id="6" w:name="_Toc124325888"/>
      <w:bookmarkStart w:id="7" w:name="_Toc86737929"/>
      <w:bookmarkStart w:id="8" w:name="_Toc119402710"/>
      <w:bookmarkStart w:id="9" w:name="_Toc110761796"/>
      <w:bookmarkStart w:id="10" w:name="_Toc86649722"/>
      <w:bookmarkStart w:id="11" w:name="_Toc86726439"/>
      <w:bookmarkStart w:id="12" w:name="_Toc89163368"/>
      <w:bookmarkStart w:id="13" w:name="_Toc120435783"/>
      <w:bookmarkStart w:id="14" w:name="_Toc118212950"/>
      <w:bookmarkStart w:id="15" w:name="_Toc118774803"/>
      <w:bookmarkStart w:id="16" w:name="_Toc110830492"/>
      <w:bookmarkStart w:id="17" w:name="_Toc86225291"/>
      <w:bookmarkStart w:id="18" w:name="_Toc86223242"/>
      <w:bookmarkStart w:id="19" w:name="_Toc110765660"/>
      <w:bookmarkStart w:id="20" w:name="_Toc86727355"/>
      <w:bookmarkStart w:id="21" w:name="_Toc108512358"/>
      <w:r>
        <w:rPr>
          <w:rFonts w:hint="eastAsia" w:ascii="彩虹粗仿宋" w:eastAsia="彩虹粗仿宋"/>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6741239">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（一）基金管理人对基金托管人履行托管职责情况进行核查，核查事项包括基金托管人安全保管基金财产、开设基金财产的资金账户、证券账户等投资所需账户、复核基金管理人计算的</w:t>
      </w:r>
      <w:r>
        <w:rPr>
          <w:rFonts w:hint="eastAsia"/>
          <w:sz w:val="24"/>
          <w:szCs w:val="21"/>
        </w:rPr>
        <w:t>各类基金份额的</w:t>
      </w:r>
      <w:r>
        <w:rPr>
          <w:rFonts w:hint="eastAsia" w:ascii="彩虹粗仿宋" w:hAnsi="宋体" w:eastAsia="彩虹粗仿宋" w:cs="Arial"/>
          <w:sz w:val="24"/>
        </w:rPr>
        <w:t>基金资产净值和基金份额净值、根据基金管理人指令办理清算交收、相关信息披露和监督基金投资运作等行为。</w:t>
      </w:r>
    </w:p>
    <w:p w14:paraId="65339341">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876055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AEAE41D">
      <w:pPr>
        <w:rPr>
          <w:rFonts w:ascii="彩虹粗仿宋" w:eastAsia="彩虹粗仿宋"/>
          <w:sz w:val="24"/>
        </w:rPr>
      </w:pPr>
    </w:p>
    <w:p w14:paraId="2B4F1EEE">
      <w:pPr>
        <w:pStyle w:val="2"/>
        <w:jc w:val="center"/>
        <w:rPr>
          <w:rFonts w:ascii="彩虹粗仿宋" w:eastAsia="彩虹粗仿宋"/>
          <w:sz w:val="30"/>
        </w:rPr>
      </w:pPr>
      <w:bookmarkStart w:id="22" w:name="_Toc84133786"/>
      <w:bookmarkStart w:id="23" w:name="_Toc119402711"/>
      <w:bookmarkStart w:id="24" w:name="_Toc120435784"/>
      <w:bookmarkStart w:id="25" w:name="_Toc86727356"/>
      <w:bookmarkStart w:id="26" w:name="_Toc118212951"/>
      <w:bookmarkStart w:id="27" w:name="_Toc86223243"/>
      <w:bookmarkStart w:id="28" w:name="_Toc118774804"/>
      <w:bookmarkStart w:id="29" w:name="_Toc84234435"/>
      <w:bookmarkStart w:id="30" w:name="_Toc89163369"/>
      <w:bookmarkStart w:id="31" w:name="_Toc86225292"/>
      <w:bookmarkStart w:id="32" w:name="_Toc108512359"/>
      <w:bookmarkStart w:id="33" w:name="_Toc124325889"/>
      <w:bookmarkStart w:id="34" w:name="_Toc110830493"/>
      <w:bookmarkStart w:id="35" w:name="_Toc86204789"/>
      <w:bookmarkStart w:id="36" w:name="_Toc110765661"/>
      <w:bookmarkStart w:id="37" w:name="_Toc118972649"/>
      <w:bookmarkStart w:id="38" w:name="_Toc86737930"/>
      <w:bookmarkStart w:id="39" w:name="_Toc86726440"/>
      <w:bookmarkStart w:id="40" w:name="_Toc110761797"/>
      <w:bookmarkStart w:id="41" w:name="_Toc84234388"/>
      <w:bookmarkStart w:id="42" w:name="_Toc86649723"/>
      <w:r>
        <w:rPr>
          <w:rFonts w:hint="eastAsia" w:ascii="彩虹粗仿宋" w:eastAsia="彩虹粗仿宋"/>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709460">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（一）基金财产保管的原则</w:t>
      </w:r>
    </w:p>
    <w:p w14:paraId="2F143D4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1.基金财产应独立于基金管理人、基金托管人的固有财产。</w:t>
      </w:r>
    </w:p>
    <w:p w14:paraId="3C11961D">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2.基金托管人应安全保管基金财产。</w:t>
      </w:r>
    </w:p>
    <w:p w14:paraId="3927ECA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3.基金托管人按照规定开设基金财产的资金账户、证券账户等投资所需账户。</w:t>
      </w:r>
    </w:p>
    <w:p w14:paraId="786E8E48">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4.基金托管人对所托管的不同基金财产分别设置账户，确保基金财产的完整与独立。</w:t>
      </w:r>
    </w:p>
    <w:p w14:paraId="291EE062">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5.基金托管人按照《基金合同》和本协议的约定保管基金财产，如有特殊情况双方可另行协商解决。基金</w:t>
      </w:r>
      <w:r>
        <w:rPr>
          <w:rFonts w:hint="eastAsia" w:ascii="彩虹粗仿宋" w:eastAsia="彩虹粗仿宋"/>
          <w:sz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BDC221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53C6C5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7.除依据法律法规和《基金合同》的规定外，基金托管人不得委托第三人托管基金财产。</w:t>
      </w:r>
    </w:p>
    <w:p w14:paraId="047235B1">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（二）基金募集期间及募集资金的验资</w:t>
      </w:r>
    </w:p>
    <w:p w14:paraId="46988BD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1.基金募集期间募集的资金应存于基金管理人在基金托管人的营业机构开立的“基金募集专户”。该账户由基金管理人开立并管理。</w:t>
      </w:r>
    </w:p>
    <w:p w14:paraId="26351CBE">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FE7F46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3.若基金募集期限届满，未能达到《基金合同》生效的条件，由基金管理人按规定办理退款等事宜。</w:t>
      </w:r>
    </w:p>
    <w:p w14:paraId="10EC1D3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（三）基金银行账户的开立和管理</w:t>
      </w:r>
    </w:p>
    <w:p w14:paraId="4A5F9560">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1.基金托管人可以基金的名义在其营业机构开立基金的银行账户，并根据基金管理人合法合规的指令办理资金收付。本基金的银行预留印鉴由基金托管人保管和使用。</w:t>
      </w:r>
    </w:p>
    <w:p w14:paraId="58EFE5BB">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96595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3.基金银行账户的开立和管理应符合银行业监督管理机构的有关规定。</w:t>
      </w:r>
    </w:p>
    <w:p w14:paraId="4D1C9E1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4.在符合法律法规规定的条件下，基金托管人可以通过基金托管人专用账户办理基金资产的支付。</w:t>
      </w:r>
    </w:p>
    <w:p w14:paraId="2334B48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（四）基金证券账户和结算备付金账户的开立和管理</w:t>
      </w:r>
    </w:p>
    <w:p w14:paraId="6805D25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1.基金托管人在中国证券登记结算有限责任公司上海分公司、深圳分公司为基金开立基金托管人与基金联名的证券账户。</w:t>
      </w:r>
    </w:p>
    <w:p w14:paraId="1B989F0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651E57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3.基金证券账户的开立和证券账户卡的保管由基金托管人负责，账户资产的管理和运用由基金管理人负责。</w:t>
      </w:r>
    </w:p>
    <w:p w14:paraId="4B3CEDB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221CB72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120A55C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7224BF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（五）债券托管专户的开设和管理</w:t>
      </w:r>
    </w:p>
    <w:p w14:paraId="14A18AB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D6E3FD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（六）其他账户的开立和管理</w:t>
      </w:r>
    </w:p>
    <w:p w14:paraId="052003C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w:t>
      </w:r>
      <w:r>
        <w:rPr>
          <w:rFonts w:hint="eastAsia" w:ascii="彩虹粗仿宋" w:eastAsia="彩虹粗仿宋"/>
          <w:szCs w:val="21"/>
        </w:rPr>
        <w:t xml:space="preserve"> </w:t>
      </w:r>
      <w:r>
        <w:rPr>
          <w:rFonts w:hint="eastAsia" w:ascii="彩虹粗仿宋" w:hAnsi="宋体" w:eastAsia="彩虹粗仿宋" w:cs="Arial"/>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092EEC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2.法律法规等有关规定对相关账户的开立和管理另有规定的，从其规定办理。</w:t>
      </w:r>
    </w:p>
    <w:p w14:paraId="521C45F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（七）基金财产投资的有关有价凭证等的保管</w:t>
      </w:r>
    </w:p>
    <w:p w14:paraId="69F21B13">
      <w:pPr>
        <w:adjustRightInd w:val="0"/>
        <w:snapToGrid w:val="0"/>
        <w:ind w:firstLine="480" w:firstLineChars="200"/>
        <w:rPr>
          <w:rFonts w:ascii="彩虹粗仿宋" w:hAnsi="宋体" w:eastAsia="彩虹粗仿宋" w:cs="Arial"/>
        </w:rPr>
      </w:pPr>
      <w:r>
        <w:rPr>
          <w:rFonts w:hint="eastAsia" w:ascii="彩虹粗仿宋" w:hAnsi="宋体" w:eastAsia="彩虹粗仿宋" w:cs="Arial"/>
          <w:sz w:val="24"/>
        </w:rPr>
        <w:t>基金财产投资的有关实物证券、银行</w:t>
      </w:r>
      <w:r>
        <w:rPr>
          <w:rFonts w:hint="eastAsia" w:ascii="彩虹粗仿宋" w:eastAsia="彩虹粗仿宋"/>
          <w:sz w:val="24"/>
        </w:rPr>
        <w:t>存款开户证实书</w:t>
      </w:r>
      <w:r>
        <w:rPr>
          <w:rFonts w:hint="eastAsia" w:ascii="彩虹粗仿宋" w:hAnsi="宋体" w:eastAsia="彩虹粗仿宋" w:cs="Arial"/>
          <w:sz w:val="24"/>
        </w:rPr>
        <w:t>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CD8EEA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（八）与基金财产有关的重大合同的保管</w:t>
      </w:r>
    </w:p>
    <w:p w14:paraId="4A19204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1A270F6">
      <w:pPr>
        <w:adjustRightInd w:val="0"/>
        <w:snapToGrid w:val="0"/>
        <w:ind w:firstLine="480" w:firstLineChars="200"/>
        <w:rPr>
          <w:rFonts w:ascii="彩虹粗仿宋" w:eastAsia="彩虹粗仿宋"/>
          <w:sz w:val="30"/>
          <w:szCs w:val="30"/>
        </w:rPr>
      </w:pPr>
      <w:r>
        <w:rPr>
          <w:rFonts w:hint="eastAsia" w:ascii="彩虹粗仿宋" w:hAnsi="宋体" w:eastAsia="彩虹粗仿宋" w:cs="Arial"/>
          <w:sz w:val="24"/>
        </w:rPr>
        <w:t>对于无法取得二份以上的正本的，基金管理人应向基金托管人提供加盖公章的合同传真件或复印件，未经双方协商一致，合同原件不得转移。</w:t>
      </w:r>
    </w:p>
    <w:p w14:paraId="28ABD742">
      <w:pPr>
        <w:rPr>
          <w:rFonts w:ascii="彩虹粗仿宋" w:eastAsia="彩虹粗仿宋"/>
          <w:sz w:val="24"/>
        </w:rPr>
      </w:pPr>
    </w:p>
    <w:p w14:paraId="50202E39">
      <w:pPr>
        <w:pStyle w:val="2"/>
        <w:jc w:val="center"/>
        <w:rPr>
          <w:rFonts w:ascii="彩虹粗仿宋" w:eastAsia="彩虹粗仿宋"/>
          <w:sz w:val="30"/>
        </w:rPr>
      </w:pPr>
      <w:bookmarkStart w:id="43" w:name="_Toc110761798"/>
      <w:bookmarkStart w:id="44" w:name="_Toc86727357"/>
      <w:bookmarkStart w:id="45" w:name="_Toc110830494"/>
      <w:bookmarkStart w:id="46" w:name="_Toc84133787"/>
      <w:bookmarkStart w:id="47" w:name="_Toc86649724"/>
      <w:bookmarkStart w:id="48" w:name="_Toc86737931"/>
      <w:bookmarkStart w:id="49" w:name="_Toc86204790"/>
      <w:bookmarkStart w:id="50" w:name="_Toc118212952"/>
      <w:bookmarkStart w:id="51" w:name="_Toc124325890"/>
      <w:bookmarkStart w:id="52" w:name="_Toc120435785"/>
      <w:bookmarkStart w:id="53" w:name="_Toc89163370"/>
      <w:bookmarkStart w:id="54" w:name="_Toc110765662"/>
      <w:bookmarkStart w:id="55" w:name="_Toc118774805"/>
      <w:bookmarkStart w:id="56" w:name="_Toc108512360"/>
      <w:bookmarkStart w:id="57" w:name="_Toc84234436"/>
      <w:bookmarkStart w:id="58" w:name="_Toc118972650"/>
      <w:bookmarkStart w:id="59" w:name="_Toc84234389"/>
      <w:bookmarkStart w:id="60" w:name="_Toc86223244"/>
      <w:bookmarkStart w:id="61" w:name="_Toc86225293"/>
      <w:bookmarkStart w:id="62" w:name="_Toc119402712"/>
      <w:bookmarkStart w:id="63" w:name="_Toc86726441"/>
      <w:r>
        <w:rPr>
          <w:rFonts w:hint="eastAsia" w:ascii="彩虹粗仿宋" w:eastAsia="彩虹粗仿宋"/>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6ABA10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基金管理人在运用基金财产时向基金托管人发送资金划拨及其他款项付款指令，基金托管人执行基金管理人的指令、办理基金名下的资金往来等有关事项。</w:t>
      </w:r>
    </w:p>
    <w:p w14:paraId="51D4ECB2">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（一）基金管理人对发送指令人员的书面授权</w:t>
      </w:r>
    </w:p>
    <w:p w14:paraId="448CEE0D">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1.基金管理人应指定专人向基金托管人发送指令。</w:t>
      </w:r>
    </w:p>
    <w:p w14:paraId="04514BF9">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2.基金管理人应向基金托管人提供书面授权文件，内容包括被授权人名单、预留印鉴及被授权人签字样本，授权文件应注明被授权人相应的权限。</w:t>
      </w:r>
    </w:p>
    <w:p w14:paraId="1BBF2745">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C9765C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4.基金管理人和基金托管人对授权文件负有保密义务，其内容不得向被授权人及相关操作人员以外的任何人泄露。但法律法规规定或有权机关要求的除外。</w:t>
      </w:r>
    </w:p>
    <w:p w14:paraId="607B193D">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（二）指令的内容</w:t>
      </w:r>
    </w:p>
    <w:p w14:paraId="3DAD75B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1.指令包括付款指令以及其他资金划拨指令等。</w:t>
      </w:r>
    </w:p>
    <w:p w14:paraId="777CD30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2.基金管理人发给基金托管人的指令应写明款项事由、支付时间、到账时间、金额、账户等，加盖预留印鉴并由被授权人签字。</w:t>
      </w:r>
    </w:p>
    <w:p w14:paraId="556C38E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（三）指令的发送、确认及执行的时间和程序</w:t>
      </w:r>
    </w:p>
    <w:p w14:paraId="213C6AC8">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1.指令的发送</w:t>
      </w:r>
    </w:p>
    <w:p w14:paraId="56862654">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基金管理人发送指令应采用加密传真方式或双方协商一致的其他方式。</w:t>
      </w:r>
    </w:p>
    <w:p w14:paraId="3836750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14:paraId="769ADA06">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指令发出后，基金管理人应及时以电话方式向基金托管人确认。</w:t>
      </w:r>
    </w:p>
    <w:p w14:paraId="2F4838D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14:paraId="5E81C869">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2.指令的确认</w:t>
      </w:r>
    </w:p>
    <w:p w14:paraId="5B27549C">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32477644">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3.指令的时间和执行</w:t>
      </w:r>
    </w:p>
    <w:p w14:paraId="4AAB9715">
      <w:pPr>
        <w:pStyle w:val="8"/>
        <w:spacing w:line="240" w:lineRule="auto"/>
        <w:ind w:firstLineChars="0"/>
        <w:rPr>
          <w:rFonts w:ascii="彩虹粗仿宋" w:hAnsi="宋体" w:eastAsia="彩虹粗仿宋" w:cs="Arial"/>
          <w:szCs w:val="24"/>
          <w:shd w:val="pct10" w:color="auto" w:fill="FFFFFF"/>
        </w:rPr>
      </w:pPr>
      <w:r>
        <w:rPr>
          <w:rFonts w:hint="eastAsia" w:ascii="彩虹粗仿宋" w:hAnsi="宋体" w:eastAsia="彩虹粗仿宋" w:cs="Arial"/>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hint="eastAsia" w:ascii="彩虹粗仿宋" w:hAnsi="宋体" w:eastAsia="彩虹粗仿宋" w:cs="Arial"/>
          <w:szCs w:val="24"/>
        </w:rPr>
        <w:t>对于中国证券登记结算有限责任公司实行T+0非担保交收的业务，基金管理人应在交易日14：00</w:t>
      </w:r>
      <w:r>
        <w:rPr>
          <w:rFonts w:hint="eastAsia" w:ascii="彩虹粗仿宋" w:hAnsi="宋体" w:eastAsia="彩虹粗仿宋" w:cs="Arial"/>
        </w:rPr>
        <w:t>前</w:t>
      </w:r>
      <w:r>
        <w:rPr>
          <w:rFonts w:hint="eastAsia" w:ascii="彩虹粗仿宋" w:hAnsi="宋体" w:eastAsia="彩虹粗仿宋" w:cs="Arial"/>
          <w:szCs w:val="24"/>
        </w:rPr>
        <w:t>将划款指令发送至托管人。因基金管理人指令传输不及时，致使资金未能及时划入中登公司所造成的损失由基金管理人承担，包括赔偿在深圳市场引起其他托管客户交易失败、赔偿因占用</w:t>
      </w:r>
      <w:r>
        <w:rPr>
          <w:rFonts w:hint="eastAsia" w:ascii="彩虹粗仿宋" w:hAnsi="宋体" w:eastAsia="彩虹粗仿宋" w:cs="Arial"/>
        </w:rPr>
        <w:t>结算参与人</w:t>
      </w:r>
      <w:r>
        <w:rPr>
          <w:rFonts w:hint="eastAsia" w:ascii="彩虹粗仿宋" w:hAnsi="宋体" w:eastAsia="彩虹粗仿宋" w:cs="Arial"/>
          <w:szCs w:val="24"/>
        </w:rPr>
        <w:t>最低备付金带来的利息损失</w:t>
      </w:r>
      <w:r>
        <w:rPr>
          <w:rFonts w:hint="eastAsia" w:ascii="彩虹粗仿宋" w:hAnsi="宋体" w:eastAsia="彩虹粗仿宋" w:cs="Arial"/>
        </w:rPr>
        <w:t>。</w:t>
      </w:r>
      <w:r>
        <w:rPr>
          <w:rFonts w:hint="eastAsia" w:ascii="彩虹粗仿宋" w:hAnsi="宋体" w:eastAsia="彩虹粗仿宋" w:cs="Arial"/>
          <w:szCs w:val="24"/>
        </w:rPr>
        <w:t>基金管理人应确保基金托管人在执行指令时，基金资金账户有足够的资金余额，</w:t>
      </w:r>
      <w:r>
        <w:rPr>
          <w:rFonts w:hint="eastAsia" w:ascii="彩虹粗仿宋" w:hAnsi="宋体" w:eastAsia="彩虹粗仿宋" w:cs="Arial"/>
        </w:rPr>
        <w:t>在基金资金头寸充足的情况下，基金托管人对基金管理人符合法律法规、《基金合同》、本协议的指令不得拖延或拒绝执行。</w:t>
      </w:r>
    </w:p>
    <w:p w14:paraId="5D899478">
      <w:pPr>
        <w:pStyle w:val="8"/>
        <w:spacing w:line="240" w:lineRule="auto"/>
        <w:ind w:firstLineChars="0"/>
        <w:rPr>
          <w:rFonts w:ascii="彩虹粗仿宋" w:hAnsi="宋体" w:eastAsia="彩虹粗仿宋" w:cs="Arial"/>
        </w:rPr>
      </w:pPr>
      <w:r>
        <w:rPr>
          <w:rFonts w:hint="eastAsia" w:ascii="彩虹粗仿宋" w:hAnsi="宋体" w:eastAsia="彩虹粗仿宋" w:cs="Arial"/>
        </w:rPr>
        <w:t>（四）基金管理人发送错误指令的情形和处理程序</w:t>
      </w:r>
    </w:p>
    <w:p w14:paraId="6A484B3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基金管理人发送错误指令的情形包括指令违反法律法规和《基金合同》，指令发送人员无权或超越权限发送指令。</w:t>
      </w:r>
    </w:p>
    <w:p w14:paraId="2CD8788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基金托管人在履行监督职能时，发现基金管理人的指令错误时，有权拒绝执行，并及时通知基金管理人改正。如需撤销指令，基金管理人应出具书面说明，并加盖业务用章。</w:t>
      </w:r>
    </w:p>
    <w:p w14:paraId="7BCE33F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（五）基金托管人依照法律法规暂缓、拒绝执行指令的情形和处理程序</w:t>
      </w:r>
    </w:p>
    <w:p w14:paraId="3A46A0A2">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若基金托管人发现基金管理人的指令违反法律法规，或者违反《基金合同》约定的，有权视情况暂缓或拒绝执行，并立即通知基金管理人。</w:t>
      </w:r>
    </w:p>
    <w:p w14:paraId="533A8874">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（六）基金托管人未按照基金管理人指令执行的处理方法</w:t>
      </w:r>
    </w:p>
    <w:p w14:paraId="2CABA072">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基金托管人由于自身原因，未按照基金管理人发送的指令执行并对基金财产或投资人造成的直接损失，由基金托管人</w:t>
      </w:r>
      <w:r>
        <w:rPr>
          <w:rFonts w:hint="eastAsia" w:ascii="彩虹粗仿宋" w:eastAsia="彩虹粗仿宋"/>
          <w:sz w:val="24"/>
        </w:rPr>
        <w:t>赔偿由此造成的直接损失</w:t>
      </w:r>
    </w:p>
    <w:p w14:paraId="5C3D30F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（七）更换被授权人员的程序</w:t>
      </w:r>
    </w:p>
    <w:p w14:paraId="72CDA4F8">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hint="eastAsia" w:ascii="彩虹粗仿宋" w:eastAsia="彩虹粗仿宋"/>
          <w:sz w:val="24"/>
        </w:rPr>
        <w:t>。</w:t>
      </w:r>
      <w:r>
        <w:rPr>
          <w:rFonts w:hint="eastAsia" w:ascii="彩虹粗仿宋" w:hAnsi="宋体" w:eastAsia="彩虹粗仿宋" w:cs="Arial"/>
          <w:sz w:val="24"/>
        </w:rPr>
        <w:t>基金托管人更换接受基金管理人指令的人员，应提前通过录音电话通知基金管理人。</w:t>
      </w:r>
    </w:p>
    <w:p w14:paraId="57DC3FD2">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（八）其他事项</w:t>
      </w:r>
    </w:p>
    <w:p w14:paraId="36A64214">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D0A155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基金参与认购未上市债券时，基金管理人应代表本基金与对手方签署相关合同或协议，明确约定债券过户具体事宜。否则，基金管理人需对所认购债券的过户事宜承担相应责任。</w:t>
      </w:r>
    </w:p>
    <w:p w14:paraId="2061AE8D">
      <w:pPr>
        <w:adjustRightInd w:val="0"/>
        <w:snapToGrid w:val="0"/>
        <w:rPr>
          <w:rFonts w:ascii="彩虹粗仿宋" w:hAnsi="宋体" w:eastAsia="彩虹粗仿宋" w:cs="Arial"/>
          <w:sz w:val="24"/>
        </w:rPr>
      </w:pPr>
    </w:p>
    <w:p w14:paraId="0C484B93">
      <w:pPr>
        <w:pStyle w:val="2"/>
        <w:jc w:val="center"/>
        <w:rPr>
          <w:rFonts w:ascii="彩虹粗仿宋" w:eastAsia="彩虹粗仿宋"/>
          <w:sz w:val="30"/>
        </w:rPr>
      </w:pPr>
      <w:bookmarkStart w:id="64" w:name="_Toc110761799"/>
      <w:bookmarkStart w:id="65" w:name="_Toc89163371"/>
      <w:bookmarkStart w:id="66" w:name="_Toc84234390"/>
      <w:bookmarkStart w:id="67" w:name="_Toc86726442"/>
      <w:bookmarkStart w:id="68" w:name="_Toc124325891"/>
      <w:bookmarkStart w:id="69" w:name="_Toc110765663"/>
      <w:bookmarkStart w:id="70" w:name="_Toc86649725"/>
      <w:bookmarkStart w:id="71" w:name="_Toc108512361"/>
      <w:bookmarkStart w:id="72" w:name="_Toc86225294"/>
      <w:bookmarkStart w:id="73" w:name="_Toc84234437"/>
      <w:bookmarkStart w:id="74" w:name="_Toc118972651"/>
      <w:bookmarkStart w:id="75" w:name="_Toc86737932"/>
      <w:bookmarkStart w:id="76" w:name="_Toc120435786"/>
      <w:bookmarkStart w:id="77" w:name="_Toc119402713"/>
      <w:bookmarkStart w:id="78" w:name="_Toc84133788"/>
      <w:bookmarkStart w:id="79" w:name="_Toc86204791"/>
      <w:bookmarkStart w:id="80" w:name="_Toc86223245"/>
      <w:bookmarkStart w:id="81" w:name="_Toc118212953"/>
      <w:bookmarkStart w:id="82" w:name="_Toc118774806"/>
      <w:bookmarkStart w:id="83" w:name="_Toc110830495"/>
      <w:bookmarkStart w:id="84" w:name="_Toc86727358"/>
      <w:r>
        <w:rPr>
          <w:rFonts w:hint="eastAsia" w:ascii="彩虹粗仿宋" w:eastAsia="彩虹粗仿宋"/>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5EF5C9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（一）选择证券买卖的证券经营机构</w:t>
      </w:r>
    </w:p>
    <w:p w14:paraId="2413F74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5384149">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（二）基金投资证券后的清算交收安排</w:t>
      </w:r>
    </w:p>
    <w:p w14:paraId="2EE6A64E">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1.清算与交割</w:t>
      </w:r>
    </w:p>
    <w:p w14:paraId="036A071A">
      <w:pPr>
        <w:adjustRightInd w:val="0"/>
        <w:snapToGrid w:val="0"/>
        <w:ind w:firstLine="480"/>
        <w:rPr>
          <w:rFonts w:ascii="彩虹粗仿宋" w:eastAsia="彩虹粗仿宋"/>
          <w:sz w:val="24"/>
        </w:rPr>
      </w:pPr>
      <w:r>
        <w:rPr>
          <w:rFonts w:hint="eastAsia" w:ascii="彩虹粗仿宋" w:eastAsia="彩虹粗仿宋"/>
          <w:sz w:val="24"/>
        </w:rPr>
        <w:t>基金管理人与基金托管人应根据有关法律法规及相关业务规则，签订《托管</w:t>
      </w:r>
    </w:p>
    <w:p w14:paraId="3FEC0EF7">
      <w:pPr>
        <w:adjustRightInd w:val="0"/>
        <w:snapToGrid w:val="0"/>
        <w:rPr>
          <w:rFonts w:ascii="彩虹粗仿宋" w:eastAsia="彩虹粗仿宋"/>
          <w:sz w:val="24"/>
        </w:rPr>
      </w:pPr>
      <w:r>
        <w:rPr>
          <w:rFonts w:hint="eastAsia" w:ascii="彩虹粗仿宋" w:eastAsia="彩虹粗仿宋"/>
          <w:sz w:val="24"/>
        </w:rPr>
        <w:t>银行证券资金结算协议》，用以具体明确基金管理人与基金托管人在证券交易资金结算业务中的责任。</w:t>
      </w:r>
    </w:p>
    <w:p w14:paraId="698C0D8E">
      <w:pPr>
        <w:adjustRightInd w:val="0"/>
        <w:snapToGrid w:val="0"/>
        <w:ind w:firstLine="480"/>
        <w:rPr>
          <w:rFonts w:ascii="彩虹粗仿宋" w:hAnsi="宋体" w:eastAsia="彩虹粗仿宋" w:cs="Arial"/>
          <w:sz w:val="24"/>
        </w:rPr>
      </w:pPr>
      <w:r>
        <w:rPr>
          <w:rFonts w:hint="eastAsia" w:ascii="彩虹粗仿宋" w:eastAsia="彩虹粗仿宋"/>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AAB2305">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CE5860B">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DB33418">
      <w:pPr>
        <w:adjustRightInd w:val="0"/>
        <w:snapToGrid w:val="0"/>
        <w:ind w:firstLine="480"/>
        <w:rPr>
          <w:rFonts w:ascii="彩虹粗仿宋" w:hAnsi="宋体" w:eastAsia="彩虹粗仿宋" w:cs="宋体"/>
          <w:color w:val="000000"/>
          <w:kern w:val="0"/>
          <w:sz w:val="24"/>
        </w:rPr>
      </w:pPr>
      <w:r>
        <w:rPr>
          <w:rFonts w:hint="eastAsia" w:ascii="彩虹粗仿宋" w:hAnsi="宋体" w:eastAsia="彩虹粗仿宋" w:cs="宋体"/>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4A05148">
      <w:pPr>
        <w:adjustRightInd w:val="0"/>
        <w:snapToGrid w:val="0"/>
        <w:ind w:firstLine="480"/>
        <w:rPr>
          <w:rFonts w:ascii="彩虹粗仿宋" w:hAnsi="宋体" w:eastAsia="彩虹粗仿宋" w:cs="Arial"/>
          <w:sz w:val="24"/>
        </w:rPr>
      </w:pPr>
      <w:r>
        <w:rPr>
          <w:rFonts w:hint="eastAsia" w:ascii="彩虹粗仿宋" w:hAnsi="宋体" w:eastAsia="彩虹粗仿宋" w:cs="宋体"/>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r>
        <w:rPr>
          <w:rFonts w:hint="eastAsia" w:ascii="彩虹粗仿宋" w:hAnsi="宋体" w:eastAsia="彩虹粗仿宋" w:cs="Arial"/>
          <w:sz w:val="24"/>
        </w:rPr>
        <w:t>实行场内T+0交收的资金清算按照基金托管人的相关规定流程执行。</w:t>
      </w:r>
    </w:p>
    <w:p w14:paraId="708D4641">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2.交易记录、资金和证券账目核对的时间和方式</w:t>
      </w:r>
    </w:p>
    <w:p w14:paraId="5873FF3B">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（1）交易记录的核对</w:t>
      </w:r>
    </w:p>
    <w:p w14:paraId="2147D52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基金管理人按日进行交易记录的核对。每日对外披露</w:t>
      </w:r>
      <w:r>
        <w:rPr>
          <w:rFonts w:hint="eastAsia" w:ascii="彩虹粗仿宋" w:hAnsi="宋体" w:eastAsia="彩虹粗仿宋" w:cs="宋体"/>
          <w:color w:val="000000"/>
          <w:kern w:val="0"/>
          <w:sz w:val="24"/>
        </w:rPr>
        <w:t>各类基金份额</w:t>
      </w:r>
      <w:r>
        <w:rPr>
          <w:rFonts w:hint="eastAsia" w:ascii="彩虹粗仿宋" w:hAnsi="宋体" w:eastAsia="彩虹粗仿宋" w:cs="Arial"/>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24A7824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（2）资金账目的核对</w:t>
      </w:r>
    </w:p>
    <w:p w14:paraId="635C85AB">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资金账目按日核实。</w:t>
      </w:r>
    </w:p>
    <w:p w14:paraId="778E5D1F">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（3）证券账目的核对</w:t>
      </w:r>
    </w:p>
    <w:p w14:paraId="5A862F5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基金管理人和基金托管人每个交易日结束后核对基金证券账目，确保双方账目相符。基金管理人和基金托管人每月月末核对实物证券账目。</w:t>
      </w:r>
    </w:p>
    <w:p w14:paraId="7BE8E433">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（三）基金申购和赎回业务处理的基本规定</w:t>
      </w:r>
    </w:p>
    <w:p w14:paraId="75F71441">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1.基金份额申购、赎回的确认、清算由基金管理人或其委托的注册登记机构负责。</w:t>
      </w:r>
    </w:p>
    <w:p w14:paraId="3AB472B4">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448A07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3.基金管理人应保证本基金（或本基金管理人委托）的注册登记机构每个工作日15:00前向基金托管人发送前一开放日上述有关数据，并保证相关数据的准确、完整。</w:t>
      </w:r>
    </w:p>
    <w:p w14:paraId="7606A6B9">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0471D6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5.如基金管理人委托其他机构办理本基金的注册登记业务，应保证上述相关事宜按时进行。否则，由基金管理人承担相应的责任。</w:t>
      </w:r>
    </w:p>
    <w:p w14:paraId="55B53D70">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6.关于清算专用账户的设立和管理</w:t>
      </w:r>
    </w:p>
    <w:p w14:paraId="7089A890">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为满足申购、赎回及分红资金汇划的需要，由基金管理人开立资金清算的专用账户，该账户由注册登记机构管理。</w:t>
      </w:r>
    </w:p>
    <w:p w14:paraId="34AEAC38">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与配合，保障基金财产的安全运作。</w:t>
      </w:r>
    </w:p>
    <w:p w14:paraId="37DE2E8B">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8.赎回和分红资金划拨规定</w:t>
      </w:r>
    </w:p>
    <w:p w14:paraId="5205F16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FA1D05">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9.资金指令</w:t>
      </w:r>
    </w:p>
    <w:p w14:paraId="40AC90C0">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除申购款项到达基金资金账户需双方按约定方式对账外，回购到期付款和与投资有关的付款、赎回和分红资金划拨时，基金管理人需向基金托管人下达指令。</w:t>
      </w:r>
    </w:p>
    <w:p w14:paraId="0B154DE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资金指令的格式、内容、发送、接收和确认方式等与投资指令相同。</w:t>
      </w:r>
    </w:p>
    <w:p w14:paraId="46EBFDC7">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（四）申购、赎回资金结算</w:t>
      </w:r>
    </w:p>
    <w:p w14:paraId="7C1C1E4A">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1.申购资金</w:t>
      </w:r>
    </w:p>
    <w:p w14:paraId="0B7FDBB3">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 xml:space="preserve"> T+1日15:00前，注册登记机构根据T日基金份额净值计算基金投资者申购基金的份额，并将清算确认的有效数据和资金数据汇总传输给基金托管人。基金管理人和基金托管人据此进行申购的基金会计处理。</w:t>
      </w:r>
    </w:p>
    <w:p w14:paraId="11B3DB5D">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14:paraId="7AC1D3D6">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2.赎回资金</w:t>
      </w:r>
    </w:p>
    <w:p w14:paraId="04B39426">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T+1日15:00前，基金管理人将T日赎回确认数据汇总传输给基金托管人，基金管理人和基金托管人据此进行赎回的基金会计处理。</w:t>
      </w:r>
    </w:p>
    <w:p w14:paraId="6EAC35AD">
      <w:pPr>
        <w:adjustRightInd w:val="0"/>
        <w:snapToGrid w:val="0"/>
        <w:rPr>
          <w:rFonts w:ascii="彩虹粗仿宋" w:hAnsi="宋体" w:eastAsia="彩虹粗仿宋" w:cs="Arial"/>
          <w:b/>
          <w:sz w:val="24"/>
        </w:rPr>
      </w:pPr>
      <w:r>
        <w:rPr>
          <w:rFonts w:hint="eastAsia" w:ascii="彩虹粗仿宋" w:hAnsi="宋体" w:eastAsia="彩虹粗仿宋" w:cs="Arial"/>
          <w:sz w:val="24"/>
        </w:rPr>
        <w:t>基金管理人在账户资金充足、划款指令于T+2日向基金托管人发出的条件下，基金托管人将赎回资金(含赎回费)于T+3日上午划往基金管理人指定的资金清算的专用账户。特殊情况时，双方协商处理。划款当日基金管理人和基金托管人对赎回资金进行账务处理。</w:t>
      </w:r>
    </w:p>
    <w:p w14:paraId="10A155FE">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（五）基金转换</w:t>
      </w:r>
    </w:p>
    <w:p w14:paraId="706F2636">
      <w:pPr>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1.在本基金与基金管理人管理的其它基金开展转换业务之前，基金管理人应函告基金托管人并就相关事宜进行协商。</w:t>
      </w:r>
    </w:p>
    <w:p w14:paraId="1D2AED49">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2.基金托管人将根据基金管理人传送的基金转换数据进行账务处理，具体资金清算和数据传递的时间、程序及托管协议当事人承担的权责按基金管理人届时的公告执行。</w:t>
      </w:r>
    </w:p>
    <w:p w14:paraId="65D0AD35">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3.本基金开展基金转换业务应按相关法律法规规定及《基金合同》的约定进行公告。</w:t>
      </w:r>
    </w:p>
    <w:p w14:paraId="0942936A">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（六）基金现金分红</w:t>
      </w:r>
    </w:p>
    <w:p w14:paraId="4F5E1A9E">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1.基金管理人确定分红方案通知基金托管人，双方核定后依照《信息披露办法》的有关规定在中国证监会指定媒介上公告。</w:t>
      </w:r>
    </w:p>
    <w:p w14:paraId="76732FE9">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2.基金托管人和基金管理人对基金分红进行账务处理并核对后，基金管理人向基金托管人发送现金红利的划款指令，基金托管人应及时将资金划入专用账户。</w:t>
      </w:r>
    </w:p>
    <w:p w14:paraId="1CFB01D6">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3.基金管理人在下达指令时，应给基金托管人留出必需的划款时间。</w:t>
      </w:r>
    </w:p>
    <w:p w14:paraId="448F4FA9">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（七）投资银行存款的特别约定</w:t>
      </w:r>
    </w:p>
    <w:p w14:paraId="0B21673D">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1.本基金投资银行存款前，应与基金托管人签署《证券投资基金投资银行定期存款风险控制补充协议》。</w:t>
      </w:r>
    </w:p>
    <w:p w14:paraId="0DE66818">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2.本基金投资银行存款，必须采用双方认可的方式办理。</w:t>
      </w:r>
    </w:p>
    <w:p w14:paraId="4AD0F6EB">
      <w:pPr>
        <w:adjustRightInd w:val="0"/>
        <w:snapToGrid w:val="0"/>
        <w:ind w:firstLine="480"/>
        <w:outlineLvl w:val="0"/>
        <w:rPr>
          <w:rFonts w:ascii="彩虹粗仿宋" w:hAnsi="宋体" w:eastAsia="彩虹粗仿宋" w:cs="Arial"/>
          <w:sz w:val="24"/>
        </w:rPr>
      </w:pPr>
      <w:r>
        <w:rPr>
          <w:rFonts w:hint="eastAsia" w:ascii="彩虹粗仿宋" w:hAnsi="宋体" w:eastAsia="彩虹粗仿宋" w:cs="Arial"/>
          <w:sz w:val="24"/>
        </w:rPr>
        <w:t>3.基金管理人投资银行存款或办理存款支取时，应提前书面通知基金托管人，以便基金托管人有足够的时间履行相应的业务操作程序。</w:t>
      </w:r>
    </w:p>
    <w:p w14:paraId="49F32BA8">
      <w:pPr>
        <w:adjustRightInd w:val="0"/>
        <w:snapToGrid w:val="0"/>
        <w:rPr>
          <w:rFonts w:ascii="彩虹粗仿宋" w:hAnsi="宋体" w:eastAsia="彩虹粗仿宋" w:cs="Arial"/>
          <w:sz w:val="24"/>
        </w:rPr>
      </w:pPr>
    </w:p>
    <w:p w14:paraId="1A6B8F0A">
      <w:pPr>
        <w:pStyle w:val="2"/>
        <w:jc w:val="center"/>
        <w:rPr>
          <w:rFonts w:ascii="彩虹粗仿宋" w:eastAsia="彩虹粗仿宋"/>
          <w:sz w:val="30"/>
        </w:rPr>
      </w:pPr>
      <w:bookmarkStart w:id="85" w:name="_Toc124325892"/>
      <w:r>
        <w:rPr>
          <w:rFonts w:hint="eastAsia" w:ascii="彩虹粗仿宋" w:eastAsia="彩虹粗仿宋"/>
          <w:sz w:val="30"/>
        </w:rPr>
        <w:t xml:space="preserve"> 八、基金资产净值计算和会计核算</w:t>
      </w:r>
      <w:bookmarkEnd w:id="85"/>
    </w:p>
    <w:p w14:paraId="2AFD3307">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（一）基金资产净值的计算、复核与完成的时间及程序</w:t>
      </w:r>
    </w:p>
    <w:p w14:paraId="52B9A49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资产净值是指基金资产总值减去负债后的金额。基金份额净值（含各类基金份额的基金份额净值，下同）是按照每个工作日闭市后，相应类别的基金资产净值除以当日该类基金份额的余额数量计算，均精确到0.001元，小数点后第四位四舍五入。国家另有规定的，从其规定。</w:t>
      </w:r>
    </w:p>
    <w:p w14:paraId="1E8ED0C9">
      <w:pPr>
        <w:tabs>
          <w:tab w:val="left" w:pos="4395"/>
        </w:tabs>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每个工作日计算各类基金份额的基金资产净值及基金份额净值，并按规定公告。</w:t>
      </w:r>
    </w:p>
    <w:p w14:paraId="46313BD2">
      <w:pPr>
        <w:tabs>
          <w:tab w:val="left" w:pos="4395"/>
        </w:tabs>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26F77272">
      <w:pPr>
        <w:ind w:firstLine="480" w:firstLineChars="200"/>
        <w:rPr>
          <w:rFonts w:ascii="彩虹粗仿宋" w:hAnsi="宋体" w:eastAsia="彩虹粗仿宋" w:cs="Arial"/>
          <w:sz w:val="24"/>
        </w:rPr>
      </w:pPr>
      <w:r>
        <w:rPr>
          <w:rFonts w:hint="eastAsia" w:ascii="彩虹粗仿宋" w:hAnsi="宋体" w:eastAsia="彩虹粗仿宋" w:cs="Arial"/>
          <w:sz w:val="24"/>
        </w:rPr>
        <w:t>（二）基金资产估值方法和特殊情形的处理</w:t>
      </w:r>
    </w:p>
    <w:p w14:paraId="3DD713F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1.估值对象</w:t>
      </w:r>
    </w:p>
    <w:p w14:paraId="1B0A522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基金所拥有的股票、股指期货合约、权证、债券和银行存款本息、应收款项、其它投资等资产及负债。</w:t>
      </w:r>
    </w:p>
    <w:p w14:paraId="19CC2FF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2.估值方法</w:t>
      </w:r>
    </w:p>
    <w:p w14:paraId="08F8011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本基金所持有的投资品种，按如下原则进行估值： </w:t>
      </w:r>
    </w:p>
    <w:p w14:paraId="3994AEB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w:t>
      </w:r>
      <w:r>
        <w:rPr>
          <w:rFonts w:ascii="彩虹粗仿宋" w:hAnsi="宋体" w:eastAsia="彩虹粗仿宋" w:cs="Arial"/>
          <w:sz w:val="24"/>
        </w:rPr>
        <w:t>）</w:t>
      </w:r>
      <w:r>
        <w:rPr>
          <w:rFonts w:hint="eastAsia" w:ascii="彩虹粗仿宋" w:hAnsi="宋体" w:eastAsia="彩虹粗仿宋" w:cs="Arial"/>
          <w:sz w:val="24"/>
        </w:rPr>
        <w:t xml:space="preserve">对存在活跃市场的投资品种，如估值日有市价的，采用市价确定公允价值；估值日无市价，但最近交易日后经济环境未发生重大变化且证券发行机构未发生影响证券价格的重大事件的，采用最近交易市价确定公允价值。 </w:t>
      </w:r>
    </w:p>
    <w:p w14:paraId="6B2993C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 </w:t>
      </w:r>
    </w:p>
    <w:p w14:paraId="2DB7423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（3）当投资品种不存在活跃市场，采用市场参与者普遍认同，或被以往市场实际交易价格验证的估值技术，确定投资品种的公允价值。 </w:t>
      </w:r>
    </w:p>
    <w:p w14:paraId="2E0F3E2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（4）本基金投资股指期货合约，一般以估值当日结算价进行估值，估值当日无结算价的，且最近交易日后经济环境未发生重大变化的，采用最近交易日结算价估值。</w:t>
      </w:r>
    </w:p>
    <w:p w14:paraId="6307B14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（5）在不违背上述公允价值确定原则的前提下，本基金可以采用第三方估值机构提供的相关数据。 </w:t>
      </w:r>
    </w:p>
    <w:p w14:paraId="38E11B7C">
      <w:pPr>
        <w:spacing w:line="360" w:lineRule="auto"/>
        <w:ind w:firstLine="480" w:firstLineChars="200"/>
        <w:rPr>
          <w:rFonts w:hAnsi="宋体"/>
          <w:sz w:val="24"/>
        </w:rPr>
      </w:pPr>
      <w:r>
        <w:rPr>
          <w:rFonts w:hAnsi="宋体"/>
          <w:sz w:val="24"/>
        </w:rPr>
        <w:t>（</w:t>
      </w:r>
      <w:r>
        <w:rPr>
          <w:rFonts w:hint="eastAsia"/>
          <w:sz w:val="24"/>
        </w:rPr>
        <w:t>6</w:t>
      </w:r>
      <w:r>
        <w:rPr>
          <w:rFonts w:hAnsi="宋体"/>
          <w:sz w:val="24"/>
        </w:rPr>
        <w:t>）</w:t>
      </w:r>
      <w:r>
        <w:rPr>
          <w:rFonts w:hint="eastAsia" w:hAnsi="宋体"/>
          <w:sz w:val="24"/>
        </w:rPr>
        <w:t>本基金投资存托凭证的估值核算，依照境内上市交易的股票执行。</w:t>
      </w:r>
    </w:p>
    <w:p w14:paraId="6E6594A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（7）如有充足理由认为按上述方法进行估值不能客观反映其公允价值的，基金管理人可根据具体情况与基金托管人商定后，按最能反映公允价值的价格估值。 </w:t>
      </w:r>
    </w:p>
    <w:p w14:paraId="714D8ED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（8）存在相关法律法规以及监管部门有相关规范且适用于本基金的，从其规定。如有新增事项，按国家最新规定估值。 </w:t>
      </w:r>
    </w:p>
    <w:p w14:paraId="1FDBA92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14:paraId="16318FA5">
      <w:pPr>
        <w:adjustRightInd w:val="0"/>
        <w:snapToGrid w:val="0"/>
        <w:ind w:firstLine="480"/>
        <w:rPr>
          <w:rFonts w:ascii="彩虹粗仿宋" w:eastAsia="彩虹粗仿宋"/>
          <w:sz w:val="24"/>
          <w:szCs w:val="21"/>
        </w:rPr>
      </w:pPr>
      <w:r>
        <w:rPr>
          <w:rFonts w:hint="eastAsia" w:ascii="彩虹粗仿宋" w:hAnsi="宋体" w:eastAsia="彩虹粗仿宋"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B0FEF77">
      <w:pPr>
        <w:adjustRightInd w:val="0"/>
        <w:snapToGrid w:val="0"/>
        <w:ind w:firstLine="480"/>
        <w:rPr>
          <w:rStyle w:val="34"/>
          <w:rFonts w:ascii="彩虹粗仿宋" w:hAnsi="宋体" w:eastAsia="彩虹粗仿宋" w:cs="Arial"/>
          <w:sz w:val="24"/>
        </w:rPr>
      </w:pPr>
      <w:r>
        <w:rPr>
          <w:rStyle w:val="34"/>
          <w:rFonts w:hint="eastAsia" w:ascii="彩虹粗仿宋" w:hAnsi="宋体" w:eastAsia="彩虹粗仿宋" w:cs="Arial"/>
          <w:sz w:val="24"/>
        </w:rPr>
        <w:t>3.特殊情形的处理</w:t>
      </w:r>
    </w:p>
    <w:p w14:paraId="58E51673">
      <w:pPr>
        <w:adjustRightInd w:val="0"/>
        <w:snapToGrid w:val="0"/>
        <w:ind w:firstLine="480" w:firstLineChars="200"/>
        <w:rPr>
          <w:rStyle w:val="34"/>
          <w:rFonts w:ascii="彩虹粗仿宋" w:eastAsia="彩虹粗仿宋"/>
          <w:sz w:val="24"/>
        </w:rPr>
      </w:pPr>
      <w:r>
        <w:rPr>
          <w:rStyle w:val="34"/>
          <w:rFonts w:hint="eastAsia" w:ascii="彩虹粗仿宋" w:hAnsi="宋体" w:eastAsia="彩虹粗仿宋" w:cs="Arial"/>
          <w:sz w:val="24"/>
        </w:rPr>
        <w:t>基金管理人、基金托管人按估值方法的第(7)项进行估值时，所造成的误差不作为基金份</w:t>
      </w:r>
      <w:r>
        <w:rPr>
          <w:rStyle w:val="34"/>
          <w:rFonts w:hint="eastAsia" w:ascii="彩虹粗仿宋" w:eastAsia="彩虹粗仿宋"/>
          <w:sz w:val="24"/>
        </w:rPr>
        <w:t>额净值错误处理。</w:t>
      </w:r>
    </w:p>
    <w:p w14:paraId="4FD90DB5">
      <w:pPr>
        <w:adjustRightInd w:val="0"/>
        <w:snapToGrid w:val="0"/>
        <w:ind w:firstLine="480" w:firstLineChars="200"/>
        <w:rPr>
          <w:rStyle w:val="34"/>
          <w:rFonts w:ascii="彩虹粗仿宋" w:eastAsia="彩虹粗仿宋"/>
          <w:sz w:val="24"/>
        </w:rPr>
      </w:pPr>
      <w:r>
        <w:rPr>
          <w:rStyle w:val="34"/>
          <w:rFonts w:hint="eastAsia" w:ascii="彩虹粗仿宋" w:eastAsia="彩虹粗仿宋"/>
          <w:sz w:val="24"/>
        </w:rPr>
        <w:t>（三）基金份额净值错误的处理方式</w:t>
      </w:r>
    </w:p>
    <w:p w14:paraId="034A18B7">
      <w:pPr>
        <w:adjustRightInd w:val="0"/>
        <w:snapToGrid w:val="0"/>
        <w:ind w:firstLine="480" w:firstLineChars="200"/>
        <w:rPr>
          <w:rStyle w:val="34"/>
          <w:rFonts w:ascii="彩虹粗仿宋" w:eastAsia="彩虹粗仿宋"/>
          <w:sz w:val="24"/>
        </w:rPr>
      </w:pPr>
      <w:r>
        <w:rPr>
          <w:rStyle w:val="34"/>
          <w:rFonts w:hint="eastAsia" w:ascii="彩虹粗仿宋" w:eastAsia="彩虹粗仿宋"/>
          <w:sz w:val="24"/>
        </w:rPr>
        <w:t>1.当任一类基金份额净值小数点后3位以内(含第3位)发生差错时，视为该类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Pr>
          <w:rFonts w:hint="eastAsia" w:ascii="彩虹粗仿宋" w:eastAsia="彩虹粗仿宋" w:cs="Arial"/>
          <w:sz w:val="24"/>
        </w:rPr>
        <w:t>；错误偏差达到</w:t>
      </w:r>
      <w:r>
        <w:rPr>
          <w:rStyle w:val="34"/>
          <w:rFonts w:hint="eastAsia" w:ascii="彩虹粗仿宋" w:eastAsia="彩虹粗仿宋"/>
          <w:sz w:val="24"/>
        </w:rPr>
        <w:t>该类</w:t>
      </w:r>
      <w:r>
        <w:rPr>
          <w:rFonts w:hint="eastAsia" w:ascii="彩虹粗仿宋" w:eastAsia="彩虹粗仿宋" w:cs="Arial"/>
          <w:sz w:val="24"/>
        </w:rPr>
        <w:t>基金份额净值的</w:t>
      </w:r>
      <w:r>
        <w:rPr>
          <w:rFonts w:hint="eastAsia" w:ascii="彩虹粗仿宋" w:hAnsi="宋体" w:eastAsia="彩虹粗仿宋"/>
          <w:sz w:val="24"/>
        </w:rPr>
        <w:t>0.5%时，基金管理人应当公告</w:t>
      </w:r>
      <w:r>
        <w:rPr>
          <w:rStyle w:val="34"/>
          <w:rFonts w:hint="eastAsia" w:ascii="彩虹粗仿宋" w:eastAsia="彩虹粗仿宋"/>
          <w:sz w:val="24"/>
        </w:rPr>
        <w:t>；当发生净值计算错误时，由基金管理人负责处理，由此给基金份额持有人和基金造成损失的，应由基金管理人先行赔付，基金管理人按差错情形，有权向其他当事人追偿。</w:t>
      </w:r>
    </w:p>
    <w:p w14:paraId="5F8450F7">
      <w:pPr>
        <w:adjustRightInd w:val="0"/>
        <w:snapToGrid w:val="0"/>
        <w:ind w:firstLine="480" w:firstLineChars="200"/>
        <w:rPr>
          <w:rStyle w:val="34"/>
          <w:rFonts w:ascii="彩虹粗仿宋" w:eastAsia="彩虹粗仿宋"/>
          <w:sz w:val="24"/>
        </w:rPr>
      </w:pPr>
      <w:r>
        <w:rPr>
          <w:rStyle w:val="34"/>
          <w:rFonts w:hint="eastAsia" w:ascii="彩虹粗仿宋" w:eastAsia="彩虹粗仿宋"/>
          <w:sz w:val="24"/>
        </w:rPr>
        <w:t>2.当基金份额净值计算差错给基金和基金份额持有人造成损失需要进行赔偿时，基金管理人和基金托管人应根据实际情况界定双方承担的责任，经确认后按以下条款进行赔偿：</w:t>
      </w:r>
    </w:p>
    <w:p w14:paraId="22C756B8">
      <w:pPr>
        <w:adjustRightInd w:val="0"/>
        <w:snapToGrid w:val="0"/>
        <w:ind w:firstLine="480" w:firstLineChars="200"/>
        <w:rPr>
          <w:rFonts w:ascii="彩虹粗仿宋" w:hAnsi="宋体" w:eastAsia="彩虹粗仿宋" w:cs="Arial"/>
          <w:sz w:val="24"/>
        </w:rPr>
      </w:pPr>
      <w:r>
        <w:rPr>
          <w:rStyle w:val="34"/>
          <w:rFonts w:hint="eastAsia" w:ascii="彩虹粗仿宋" w:eastAsia="彩虹粗仿宋"/>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hint="eastAsia" w:ascii="彩虹粗仿宋" w:hAnsi="宋体" w:eastAsia="彩虹粗仿宋" w:cs="Arial"/>
          <w:sz w:val="24"/>
        </w:rPr>
        <w:t>损失，由基金管理人负责赔付。</w:t>
      </w:r>
    </w:p>
    <w:p w14:paraId="4ECD2C3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w:t>
      </w:r>
      <w:r>
        <w:rPr>
          <w:rFonts w:hint="eastAsia" w:ascii="彩虹粗仿宋" w:eastAsia="彩虹粗仿宋"/>
          <w:kern w:val="0"/>
          <w:sz w:val="24"/>
        </w:rPr>
        <w:t>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C02BF9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1F3AA3D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w:t>
      </w:r>
      <w:r>
        <w:rPr>
          <w:rFonts w:hint="eastAsia" w:ascii="彩虹粗仿宋" w:eastAsia="彩虹粗仿宋"/>
          <w:kern w:val="0"/>
          <w:sz w:val="24"/>
        </w:rPr>
        <w:t>由于基金管理人提供的信息错误（包括但不限于基金申购或赎回金额等），进而导致基金份额净值计算错误而引起的基金份额持有人和基金财产的损失，由基金管理人负责赔付。</w:t>
      </w:r>
    </w:p>
    <w:p w14:paraId="4541F20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31ED317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4.基金管理人和基金托管人由于各自技术系统设置而产生的净值计算尾差，以基金管理人计算结果为准。</w:t>
      </w:r>
    </w:p>
    <w:p w14:paraId="2B1C4C3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5.前述内容如法律法规或者监管部门另有规定的，从其规定。如果行业另有通行做法，双方当事人应本着平等和保护基金份额持有人利益的原则进行协商。</w:t>
      </w:r>
    </w:p>
    <w:p w14:paraId="37189853">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（四）暂停估值与公告基金份额净值的情形</w:t>
      </w:r>
    </w:p>
    <w:p w14:paraId="0C64248C">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1.基金投资所涉及的证券、期货交易市场遇法定节假日或因其他原因暂停营业时；</w:t>
      </w:r>
    </w:p>
    <w:p w14:paraId="2EE8862D">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2.因不可抗力致使基金管理人、基金托管人无法准确评估基金资产价值时；</w:t>
      </w:r>
    </w:p>
    <w:p w14:paraId="2617374F">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3.</w:t>
      </w:r>
      <w:r>
        <w:rPr>
          <w:rFonts w:hint="eastAsia" w:ascii="彩虹粗仿宋" w:eastAsia="彩虹粗仿宋"/>
          <w:sz w:val="24"/>
        </w:rPr>
        <w:t>占基金相当比例的投资品种的估值出现重大转变，而基金管理人为保障投资人的利益，已决定延迟估值；</w:t>
      </w:r>
      <w:r>
        <w:rPr>
          <w:rFonts w:hint="eastAsia" w:ascii="彩虹粗仿宋" w:hAnsi="宋体" w:eastAsia="彩虹粗仿宋" w:cs="Arial"/>
          <w:sz w:val="24"/>
        </w:rPr>
        <w:t>如果出现基金管理人认为属于紧急事故的任何情况，导致基金管理人不能出售或评估基金资产时；</w:t>
      </w:r>
    </w:p>
    <w:p w14:paraId="50745B4F">
      <w:pPr>
        <w:adjustRightInd w:val="0"/>
        <w:snapToGrid w:val="0"/>
        <w:ind w:firstLine="480" w:firstLineChars="200"/>
        <w:outlineLvl w:val="0"/>
        <w:rPr>
          <w:rFonts w:ascii="彩虹粗仿宋" w:hAnsi="宋体" w:eastAsia="彩虹粗仿宋" w:cs="Arial"/>
          <w:sz w:val="24"/>
        </w:rPr>
      </w:pPr>
      <w:r>
        <w:rPr>
          <w:rFonts w:ascii="彩虹粗仿宋" w:hAnsi="宋体" w:eastAsia="彩虹粗仿宋" w:cs="Arial"/>
          <w:sz w:val="24"/>
        </w:rPr>
        <w:t>4.</w:t>
      </w:r>
      <w:r>
        <w:rPr>
          <w:rFonts w:hint="eastAsia" w:ascii="彩虹粗仿宋" w:hAnsi="宋体" w:eastAsia="彩虹粗仿宋" w:cs="Arial"/>
          <w:sz w:val="24"/>
        </w:rPr>
        <w:t>当特定资产占前一估值日基金资产净值50%以上时，经与基金托管人协商确认后，基金管理人应当暂停基金估值；</w:t>
      </w:r>
    </w:p>
    <w:p w14:paraId="0E200BF8">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5.中国证监会和《基金合同》认定的其他情形。</w:t>
      </w:r>
    </w:p>
    <w:p w14:paraId="6BDD883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（五）实施侧袋机制期间的基金资产估值</w:t>
      </w:r>
    </w:p>
    <w:p w14:paraId="3F8F09F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本基金实施侧袋机制的，应根据本部分的约定对主袋账户资产进行估值并披露主袋账户的基金净值信息，暂停披露侧袋账户份额净值。</w:t>
      </w:r>
    </w:p>
    <w:p w14:paraId="104F8DB6">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（六）基金会计制度</w:t>
      </w:r>
    </w:p>
    <w:p w14:paraId="01D96ED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按国家有关部门规定的会计制度执行。</w:t>
      </w:r>
    </w:p>
    <w:p w14:paraId="343B4982">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（七）基金账册的建立</w:t>
      </w:r>
    </w:p>
    <w:p w14:paraId="08F8FAB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49D76F88">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（八）基金财务报表与报告的编制和复核</w:t>
      </w:r>
    </w:p>
    <w:p w14:paraId="0241D8D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1.财务报表的编制</w:t>
      </w:r>
    </w:p>
    <w:p w14:paraId="019663C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基金财务报表由基金管理人编制，基金托管人复核。</w:t>
      </w:r>
    </w:p>
    <w:p w14:paraId="336057A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2.报表复核</w:t>
      </w:r>
    </w:p>
    <w:p w14:paraId="59501FA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基金托管人在收到基金管理人编制的基金财务报表后，进行独立的复核。核对不符时，应及时通知基金管理人共同查出原因，进行调整，直至双方数据完全一致。</w:t>
      </w:r>
    </w:p>
    <w:p w14:paraId="1D15144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3.财务报表的编制与复核时间安排</w:t>
      </w:r>
    </w:p>
    <w:p w14:paraId="1B9C205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(1)报表的编制</w:t>
      </w:r>
    </w:p>
    <w:p w14:paraId="4B769CD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20A9F895">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(2)报表的复核</w:t>
      </w:r>
    </w:p>
    <w:p w14:paraId="2C764DE9">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9250327">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基金管理人应留足充分的时间，便于基金托管人复核相关报表及报告。</w:t>
      </w:r>
    </w:p>
    <w:p w14:paraId="71D00D8A">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（九）基金管理人应在编制季度报告、中期报告或者年度报告之前及时向基金托管人提供基金业绩比较基准的基础数据和编制结果。</w:t>
      </w:r>
    </w:p>
    <w:p w14:paraId="4CA3DB07">
      <w:pPr>
        <w:pStyle w:val="3"/>
        <w:adjustRightInd w:val="0"/>
        <w:snapToGrid w:val="0"/>
        <w:ind w:firstLine="0" w:firstLineChars="0"/>
        <w:rPr>
          <w:rFonts w:ascii="彩虹粗仿宋" w:hAnsi="宋体" w:eastAsia="彩虹粗仿宋" w:cs="Arial"/>
          <w:sz w:val="24"/>
        </w:rPr>
      </w:pPr>
    </w:p>
    <w:p w14:paraId="2B620A18">
      <w:pPr>
        <w:pStyle w:val="2"/>
        <w:jc w:val="center"/>
        <w:rPr>
          <w:rFonts w:ascii="彩虹粗仿宋" w:eastAsia="彩虹粗仿宋"/>
          <w:sz w:val="30"/>
        </w:rPr>
      </w:pPr>
      <w:bookmarkStart w:id="86" w:name="_Toc124325893"/>
      <w:r>
        <w:rPr>
          <w:rFonts w:hint="eastAsia" w:ascii="彩虹粗仿宋" w:eastAsia="彩虹粗仿宋"/>
          <w:sz w:val="30"/>
        </w:rPr>
        <w:t>九、基金收益分配</w:t>
      </w:r>
      <w:bookmarkEnd w:id="86"/>
    </w:p>
    <w:p w14:paraId="1E631EA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基金收益分配是指按规定将基金的可分配收益按基金份额进行比例分配。</w:t>
      </w:r>
    </w:p>
    <w:p w14:paraId="50D16ABA">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（一）基金收益分配的原则</w:t>
      </w:r>
    </w:p>
    <w:p w14:paraId="7344B8F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基金收益分配应遵循下列原则：</w:t>
      </w:r>
    </w:p>
    <w:p w14:paraId="4DD417D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1、在符合有关基金分红条件的前提下，本基金每年收益分配次数最多为4次，若《基金合同》生效不满3个月可不进行收益分配； </w:t>
      </w:r>
    </w:p>
    <w:p w14:paraId="1C52A20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 xml:space="preserve">2、本基金收益分配方式分为两种：现金分红与红利再投资，投资人可选择现金红利或将现金红利按除权后的基金份额净值自动转为相应类别的基金份额进行再投资；若投资人不选择，本基金默认的收益分配方式是现金分红； </w:t>
      </w:r>
    </w:p>
    <w:p w14:paraId="119B105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3、基金收益分配后任一类基金份额净值，即基金收益分配基准日的任一类基金份额净值减去该类每单位基金份额收益分配金额，不能低于面值；</w:t>
      </w:r>
    </w:p>
    <w:p w14:paraId="5BB4ADC8">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4、由于本基金A类基金份额不收取销售服务费，而C类基金份额收取销售服务费，各类别基金份额对应的可供分配利润将有所不同。本基金同一类别的每一基金份额享有同等分配权；</w:t>
      </w:r>
    </w:p>
    <w:p w14:paraId="3982DB29">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5、法律法规或监管机关另有规定的，从其规定。</w:t>
      </w:r>
    </w:p>
    <w:p w14:paraId="1FBB0C34">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（二）基金收益分配的时间和程序</w:t>
      </w:r>
    </w:p>
    <w:p w14:paraId="4AEEF9E4">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本基金收益分配方案由基金管理人拟订，并由基金托管人复核，按《信息披露办法》的规定在指定媒介公告。</w:t>
      </w:r>
      <w:r>
        <w:rPr>
          <w:rFonts w:hint="eastAsia" w:ascii="彩虹粗仿宋" w:eastAsia="彩虹粗仿宋"/>
          <w:sz w:val="24"/>
        </w:rPr>
        <w:t>基金红利发放日距离收益分配基准日（即可供分配利润计算截止日）的时间不得超过15个工作日。</w:t>
      </w:r>
      <w:r>
        <w:rPr>
          <w:rFonts w:hint="eastAsia" w:ascii="彩虹粗仿宋" w:hAnsi="宋体" w:eastAsia="彩虹粗仿宋" w:cs="Arial"/>
          <w:sz w:val="24"/>
        </w:rPr>
        <w:t>基金收益分配方案公告后(依据具体方案的规定)，基金管理人就支付的现金红利向基金托管人发送划款指令，基金托管人按照基金管理人的指令及时进行分红资金的划付。</w:t>
      </w:r>
    </w:p>
    <w:p w14:paraId="064890F0">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p w14:paraId="37D3D9BD">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（三）实施侧袋机制期间的收益分配</w:t>
      </w:r>
    </w:p>
    <w:p w14:paraId="2DBB1A47">
      <w:pPr>
        <w:pStyle w:val="3"/>
        <w:adjustRightInd w:val="0"/>
        <w:snapToGrid w:val="0"/>
        <w:ind w:firstLine="480"/>
        <w:rPr>
          <w:rFonts w:ascii="彩虹粗仿宋" w:hAnsi="宋体" w:eastAsia="彩虹粗仿宋" w:cs="Arial"/>
          <w:sz w:val="24"/>
        </w:rPr>
      </w:pPr>
      <w:r>
        <w:rPr>
          <w:rFonts w:hint="eastAsia" w:ascii="彩虹粗仿宋" w:hAnsi="宋体" w:eastAsia="彩虹粗仿宋" w:cs="Arial"/>
          <w:sz w:val="24"/>
        </w:rPr>
        <w:t>本基金实施侧袋机制的，侧袋账户不进行收益分配，详见招募说明书的规定。</w:t>
      </w:r>
    </w:p>
    <w:p w14:paraId="62653AAB">
      <w:pPr>
        <w:adjustRightInd w:val="0"/>
        <w:snapToGrid w:val="0"/>
        <w:ind w:firstLine="480" w:firstLineChars="200"/>
        <w:outlineLvl w:val="0"/>
        <w:rPr>
          <w:rFonts w:ascii="彩虹粗仿宋" w:hAnsi="宋体" w:eastAsia="彩虹粗仿宋" w:cs="Arial"/>
          <w:sz w:val="24"/>
        </w:rPr>
      </w:pPr>
    </w:p>
    <w:p w14:paraId="04A34A80">
      <w:pPr>
        <w:pStyle w:val="2"/>
        <w:jc w:val="center"/>
        <w:rPr>
          <w:rFonts w:ascii="彩虹粗仿宋" w:eastAsia="彩虹粗仿宋"/>
          <w:sz w:val="30"/>
        </w:rPr>
      </w:pPr>
      <w:bookmarkStart w:id="87" w:name="_Toc124325894"/>
      <w:r>
        <w:rPr>
          <w:rFonts w:hint="eastAsia" w:ascii="彩虹粗仿宋" w:eastAsia="彩虹粗仿宋"/>
          <w:sz w:val="30"/>
        </w:rPr>
        <w:t>十、基金信息披露</w:t>
      </w:r>
      <w:bookmarkEnd w:id="87"/>
    </w:p>
    <w:p w14:paraId="372EFF9A">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（一）保密义务</w:t>
      </w:r>
    </w:p>
    <w:p w14:paraId="34E0C04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75C9E2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1.非因基金管理人和基金托管人的原因导致保密信息被披露、泄露或公开；</w:t>
      </w:r>
    </w:p>
    <w:p w14:paraId="47A155D9">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2.基金管理人和基金托管人为遵守和服从法院判决或裁定、仲裁裁决或中国证监会等监管机构的命令、决定所做出的信息披露或公开。</w:t>
      </w:r>
    </w:p>
    <w:p w14:paraId="7D211BA2">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（二）信息披露的内容</w:t>
      </w:r>
    </w:p>
    <w:p w14:paraId="2731A17B">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基金的信息披露内容主要包括基金招募说明书、基金产品资料概要、《基金合同》、托管协议、基金份额发售公告、基金募集情况、《基金合同》生效公告、基金净值信息、基金份额申购、赎回价格、基金定期报告、包括基金年度报告、基金中期报告和基金季度报告（含资产组合季度报告）、临时报告、澄清公告、清算报告、实施侧袋机制期间的信息披露、基金份额持有人大会决议、投资</w:t>
      </w:r>
      <w:r>
        <w:rPr>
          <w:rFonts w:ascii="彩虹粗仿宋" w:hAnsi="宋体" w:eastAsia="彩虹粗仿宋" w:cs="Arial"/>
          <w:sz w:val="24"/>
        </w:rPr>
        <w:t>中小企业私募债、资产支持证券</w:t>
      </w:r>
      <w:r>
        <w:rPr>
          <w:rFonts w:hint="eastAsia" w:ascii="彩虹粗仿宋" w:hAnsi="宋体" w:eastAsia="彩虹粗仿宋" w:cs="Arial"/>
          <w:sz w:val="24"/>
        </w:rPr>
        <w:t>的报告</w:t>
      </w:r>
      <w:r>
        <w:rPr>
          <w:rFonts w:ascii="彩虹粗仿宋" w:hAnsi="宋体" w:eastAsia="彩虹粗仿宋" w:cs="Arial"/>
          <w:sz w:val="24"/>
        </w:rPr>
        <w:t>及</w:t>
      </w:r>
      <w:r>
        <w:rPr>
          <w:rFonts w:hint="eastAsia" w:ascii="彩虹粗仿宋" w:hAnsi="宋体" w:eastAsia="彩虹粗仿宋" w:cs="Arial"/>
          <w:sz w:val="24"/>
        </w:rPr>
        <w:t>中国证监会规定的其他信息。基金年度报告需经具有证券、</w:t>
      </w:r>
      <w:r>
        <w:rPr>
          <w:rFonts w:ascii="彩虹粗仿宋" w:hAnsi="宋体" w:eastAsia="彩虹粗仿宋" w:cs="Arial"/>
          <w:sz w:val="24"/>
        </w:rPr>
        <w:t>期货</w:t>
      </w:r>
      <w:r>
        <w:rPr>
          <w:rFonts w:hint="eastAsia" w:ascii="彩虹粗仿宋" w:hAnsi="宋体" w:eastAsia="彩虹粗仿宋" w:cs="Arial"/>
          <w:sz w:val="24"/>
        </w:rPr>
        <w:t>相关业务资格的会计师事务所审计后，方可披露。</w:t>
      </w:r>
    </w:p>
    <w:p w14:paraId="5DB9CF63">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（三）基金托管人和基金管理人在信息披露中的职责和信息披露程序</w:t>
      </w:r>
    </w:p>
    <w:p w14:paraId="2BD6722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1.职责</w:t>
      </w:r>
    </w:p>
    <w:p w14:paraId="3D438F3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6C1A9C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对于不需要基金托管人(或基金管理人)复核的信息，基金管理人(或基金托管人)在公告前应告知基金托管人(或基金管理人)。</w:t>
      </w:r>
    </w:p>
    <w:p w14:paraId="6567DA4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基金管理人和基金托管人应积极配合、互相监督，保证其履行按照法定方式和限时披露的义务。</w:t>
      </w:r>
    </w:p>
    <w:p w14:paraId="6EA1E6A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基金管理人应当在中国证监会规定的时间内，将应予披露的基金信息通过指定媒介披露。根据法律法规应由基金托管人公开披露的信息，基金托管人将通过指定媒介公开披露。</w:t>
      </w:r>
    </w:p>
    <w:p w14:paraId="000EAF6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当出现下述情况时，基金管理人和基金托管人可暂停或延迟披露基金相关信息：</w:t>
      </w:r>
    </w:p>
    <w:p w14:paraId="205E342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(1)不可抗力；</w:t>
      </w:r>
    </w:p>
    <w:p w14:paraId="28ED6BA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(2)基金投资所涉及的证券交易市场遇法定节假日或因其他原因暂停营业时；</w:t>
      </w:r>
    </w:p>
    <w:p w14:paraId="4A30559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w:t>
      </w:r>
      <w:r>
        <w:rPr>
          <w:rFonts w:hint="eastAsia" w:ascii="彩虹粗仿宋" w:hAnsi="宋体" w:eastAsia="彩虹粗仿宋" w:cs="Arial"/>
          <w:bCs/>
          <w:sz w:val="24"/>
        </w:rPr>
        <w:t>出现基金管理人认为属于会导致基金管理人不能出售或评估基金资产的紧急事故的任何情况；</w:t>
      </w:r>
    </w:p>
    <w:p w14:paraId="4B62CE9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(4)法律法规、《基金合同》或中国证监会规定的其他情况。</w:t>
      </w:r>
    </w:p>
    <w:p w14:paraId="60A794C2">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2.程序</w:t>
      </w:r>
    </w:p>
    <w:p w14:paraId="7ED7E8D6">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按有关规定须经基金托管人复核的信息披露文件，由基金管理人起草、并经基金托管人复核后由基金管理人公告。发生《基金合同》中规定需要披露的事项时，按《基金合同》规定公布。</w:t>
      </w:r>
    </w:p>
    <w:p w14:paraId="0D53E181">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3.信息文本的存放</w:t>
      </w:r>
    </w:p>
    <w:p w14:paraId="5C80876B">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91593F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4.实施侧袋机制期间的信息披露</w:t>
      </w:r>
    </w:p>
    <w:p w14:paraId="715875C9">
      <w:pPr>
        <w:adjustRightInd w:val="0"/>
        <w:snapToGrid w:val="0"/>
        <w:ind w:firstLine="480" w:firstLineChars="200"/>
      </w:pPr>
      <w:r>
        <w:rPr>
          <w:rFonts w:hint="eastAsia" w:ascii="彩虹粗仿宋" w:hAnsi="宋体" w:eastAsia="彩虹粗仿宋" w:cs="Arial"/>
          <w:sz w:val="24"/>
        </w:rPr>
        <w:t>本基金实施侧袋机制的，相关信息披露义务人应当根据法律法规、基金合同和招募说明书的规定进行信息披露，详见招募说明书的规定。</w:t>
      </w:r>
    </w:p>
    <w:p w14:paraId="79144431">
      <w:pPr>
        <w:pStyle w:val="3"/>
        <w:ind w:firstLine="0" w:firstLineChars="0"/>
        <w:rPr>
          <w:rFonts w:ascii="彩虹粗仿宋" w:hAnsi="宋体" w:eastAsia="彩虹粗仿宋" w:cs="Arial"/>
          <w:sz w:val="24"/>
        </w:rPr>
      </w:pPr>
    </w:p>
    <w:p w14:paraId="50FB31F1">
      <w:pPr>
        <w:pStyle w:val="2"/>
        <w:jc w:val="center"/>
        <w:rPr>
          <w:rFonts w:ascii="彩虹粗仿宋" w:eastAsia="彩虹粗仿宋"/>
          <w:sz w:val="30"/>
        </w:rPr>
      </w:pPr>
      <w:bookmarkStart w:id="88" w:name="_Toc124325895"/>
      <w:r>
        <w:rPr>
          <w:rFonts w:hint="eastAsia" w:ascii="彩虹粗仿宋" w:eastAsia="彩虹粗仿宋"/>
          <w:sz w:val="30"/>
        </w:rPr>
        <w:t>十一、基金费用</w:t>
      </w:r>
      <w:bookmarkEnd w:id="88"/>
    </w:p>
    <w:p w14:paraId="44414D4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（一）基金管理费的计提比例和计提方法</w:t>
      </w:r>
    </w:p>
    <w:p w14:paraId="368A3A7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本基金的管理费按前一日基金资产净值的</w:t>
      </w:r>
      <w:r>
        <w:rPr>
          <w:rFonts w:hint="eastAsia" w:ascii="仿宋_GB2312" w:hAnsi="宋体" w:eastAsia="仿宋_GB2312" w:cs="Arial"/>
          <w:sz w:val="24"/>
        </w:rPr>
        <w:t>0.6</w:t>
      </w:r>
      <w:r>
        <w:rPr>
          <w:rFonts w:hint="eastAsia" w:ascii="彩虹粗仿宋" w:hAnsi="宋体" w:eastAsia="彩虹粗仿宋" w:cs="Arial"/>
          <w:sz w:val="24"/>
        </w:rPr>
        <w:t>%年费率计提。管理费的计算方法如下：</w:t>
      </w:r>
    </w:p>
    <w:p w14:paraId="7661BA4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H＝E×年管理费率÷当年天数</w:t>
      </w:r>
    </w:p>
    <w:p w14:paraId="37862E7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H为每日应计提的基金管理费</w:t>
      </w:r>
    </w:p>
    <w:p w14:paraId="400F3FC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E为前一日的基金资产净值</w:t>
      </w:r>
    </w:p>
    <w:p w14:paraId="2961637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（二）基金托管费的计提比例和计提方法</w:t>
      </w:r>
    </w:p>
    <w:p w14:paraId="331A037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本基金的托管费按前一日基金资产净值的</w:t>
      </w:r>
      <w:r>
        <w:rPr>
          <w:rFonts w:hint="eastAsia"/>
          <w:bCs/>
          <w:sz w:val="24"/>
          <w:szCs w:val="20"/>
        </w:rPr>
        <w:t>0.2</w:t>
      </w:r>
      <w:r>
        <w:rPr>
          <w:rFonts w:hint="eastAsia"/>
          <w:bCs/>
          <w:sz w:val="24"/>
          <w:szCs w:val="20"/>
          <w:lang w:val="en-US" w:eastAsia="zh-CN"/>
        </w:rPr>
        <w:t>0</w:t>
      </w:r>
      <w:r>
        <w:rPr>
          <w:rFonts w:hint="eastAsia" w:ascii="彩虹粗仿宋" w:hAnsi="宋体" w:eastAsia="彩虹粗仿宋" w:cs="Arial"/>
          <w:sz w:val="24"/>
        </w:rPr>
        <w:t>%年费率计提。托管费的计算方法如下：</w:t>
      </w:r>
    </w:p>
    <w:p w14:paraId="431BBF8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H＝E×年托管费率÷当年天数</w:t>
      </w:r>
    </w:p>
    <w:p w14:paraId="48A0CE3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H为每日应计提的基金托管费</w:t>
      </w:r>
    </w:p>
    <w:p w14:paraId="7D01986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E为前一日的基金资产净值</w:t>
      </w:r>
    </w:p>
    <w:p w14:paraId="3C6AF09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（三）基金销售服务费的计提比例和计提方法</w:t>
      </w:r>
    </w:p>
    <w:p w14:paraId="10E9408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本基金A类基金份额不收取销售服务费，C类基金份额的销售服务费年费率为0.40%。基金销售服务费将专门用于本基金的销售与基金份额持有人服务。本基金的销售服务费按前一日 C 类基金份额基金资产净值的 0.40%年费率计提。销售服务费的计算方法如下：</w:t>
      </w:r>
    </w:p>
    <w:p w14:paraId="2E61010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H＝E×0.40%÷当年天数</w:t>
      </w:r>
    </w:p>
    <w:p w14:paraId="34CDFE4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H为C类基金份额每日应计提的销售服务费</w:t>
      </w:r>
    </w:p>
    <w:p w14:paraId="02137B9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E为C类基金份额前一日基金资产净值</w:t>
      </w:r>
    </w:p>
    <w:p w14:paraId="4649B27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（四）证券账户开户费用、证券交易费用、基金财产划拨支付的银行费用、银行账户维护费、《基金合同》生效后的信息披露费用（</w:t>
      </w:r>
      <w:r>
        <w:rPr>
          <w:rFonts w:ascii="彩虹粗仿宋" w:hAnsi="宋体" w:eastAsia="彩虹粗仿宋" w:cs="Arial"/>
          <w:sz w:val="24"/>
        </w:rPr>
        <w:t>法律法规或中国证监会另有规定的除外</w:t>
      </w:r>
      <w:r>
        <w:rPr>
          <w:rFonts w:hint="eastAsia" w:ascii="彩虹粗仿宋" w:hAnsi="宋体" w:eastAsia="彩虹粗仿宋" w:cs="Arial"/>
          <w:sz w:val="24"/>
        </w:rPr>
        <w:t>）、基金份额持有人大会费用、《基金合同》生效后与基金有关的会计师费和律师费等根据有关法律法规、《基金合同》及相应协议的规定，列入当期基金费用。</w:t>
      </w:r>
    </w:p>
    <w:p w14:paraId="32B2708C">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（五）不列入基金费用的项目</w:t>
      </w:r>
    </w:p>
    <w:p w14:paraId="364EE97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08ACD582">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（六）基金管理费、基金托管费</w:t>
      </w:r>
      <w:r>
        <w:rPr>
          <w:rFonts w:hint="eastAsia"/>
          <w:sz w:val="24"/>
        </w:rPr>
        <w:t>和基金销售服务费</w:t>
      </w:r>
      <w:r>
        <w:rPr>
          <w:rFonts w:hint="eastAsia" w:ascii="彩虹粗仿宋" w:hAnsi="宋体" w:eastAsia="彩虹粗仿宋" w:cs="Arial"/>
          <w:sz w:val="24"/>
        </w:rPr>
        <w:t>的调整</w:t>
      </w:r>
    </w:p>
    <w:p w14:paraId="411BAF2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基金管理人和基金托管人可协商酌情降低基金管理费、基金托管费</w:t>
      </w:r>
      <w:r>
        <w:rPr>
          <w:rFonts w:hint="eastAsia"/>
          <w:sz w:val="24"/>
        </w:rPr>
        <w:t>和基金销售服务费</w:t>
      </w:r>
      <w:r>
        <w:rPr>
          <w:rFonts w:hint="eastAsia" w:ascii="彩虹粗仿宋" w:hAnsi="宋体" w:eastAsia="彩虹粗仿宋" w:cs="Arial"/>
          <w:sz w:val="24"/>
        </w:rPr>
        <w:t>，此项调整不需要基金份额持有人大会决议通过。基金管理人必须最迟于新的费率实施日2日前在指定媒介上刊登公告。</w:t>
      </w:r>
    </w:p>
    <w:p w14:paraId="2E569152">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（七）基金管理费、基金托管费</w:t>
      </w:r>
      <w:r>
        <w:rPr>
          <w:rFonts w:hint="eastAsia"/>
          <w:sz w:val="24"/>
        </w:rPr>
        <w:t>和基金销售服务费</w:t>
      </w:r>
      <w:r>
        <w:rPr>
          <w:rFonts w:hint="eastAsia" w:ascii="彩虹粗仿宋" w:hAnsi="宋体" w:eastAsia="彩虹粗仿宋" w:cs="Arial"/>
          <w:sz w:val="24"/>
        </w:rPr>
        <w:t>的复核程序、支付方式和时间</w:t>
      </w:r>
    </w:p>
    <w:p w14:paraId="58FDBF7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1.复核程序</w:t>
      </w:r>
    </w:p>
    <w:p w14:paraId="34CC9B2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基金托管人对基金管理人计提的基金管理费、基金托管费</w:t>
      </w:r>
      <w:r>
        <w:rPr>
          <w:rFonts w:hint="eastAsia"/>
          <w:sz w:val="24"/>
        </w:rPr>
        <w:t>和基金销售服务费</w:t>
      </w:r>
      <w:r>
        <w:rPr>
          <w:rFonts w:hint="eastAsia" w:ascii="彩虹粗仿宋" w:hAnsi="宋体" w:eastAsia="彩虹粗仿宋" w:cs="Arial"/>
          <w:sz w:val="24"/>
        </w:rPr>
        <w:t>等，根据本托管协议和《基金合同》的有关规定进行复核。</w:t>
      </w:r>
    </w:p>
    <w:p w14:paraId="6904589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2.支付方式和时间</w:t>
      </w:r>
    </w:p>
    <w:p w14:paraId="7A6277A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基金管理费、基金托管费</w:t>
      </w:r>
      <w:r>
        <w:rPr>
          <w:rFonts w:hint="eastAsia"/>
          <w:sz w:val="24"/>
        </w:rPr>
        <w:t>和基金销售服务费</w:t>
      </w:r>
      <w:r>
        <w:rPr>
          <w:rFonts w:hint="eastAsia" w:ascii="彩虹粗仿宋" w:hAnsi="宋体" w:eastAsia="彩虹粗仿宋" w:cs="Arial"/>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75CA3C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在首期支付基金管理费/销售服务费前，基金管理人应向基金托管人出具正式函件指定基金管理费/销售服务费的收款账户。基金管理人如需要变更此账户，应提前5个工作日向基金托管人出具书面的收款账户变更通知。</w:t>
      </w:r>
    </w:p>
    <w:p w14:paraId="4BBBCEC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（八）违规处理方式</w:t>
      </w:r>
    </w:p>
    <w:p w14:paraId="35C471B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7EC936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（九）实施侧袋机制期间的基金费用</w:t>
      </w:r>
    </w:p>
    <w:p w14:paraId="3435F99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本基金实施侧袋机制的，与侧袋账户有关的费用可以从侧袋账户中列支，但应待侧袋账户资产变现后方可列支，有关费用可酌情收取或减免，但不得收取管理费，详见招募说明书的规定。</w:t>
      </w:r>
    </w:p>
    <w:p w14:paraId="128D985C">
      <w:pPr>
        <w:adjustRightInd w:val="0"/>
        <w:snapToGrid w:val="0"/>
        <w:rPr>
          <w:rFonts w:ascii="彩虹粗仿宋" w:hAnsi="宋体" w:eastAsia="彩虹粗仿宋" w:cs="Arial"/>
          <w:sz w:val="24"/>
        </w:rPr>
      </w:pPr>
    </w:p>
    <w:p w14:paraId="600E98EF">
      <w:pPr>
        <w:pStyle w:val="2"/>
        <w:jc w:val="center"/>
        <w:rPr>
          <w:rFonts w:ascii="彩虹粗仿宋" w:eastAsia="彩虹粗仿宋"/>
          <w:sz w:val="30"/>
        </w:rPr>
      </w:pPr>
      <w:bookmarkStart w:id="89" w:name="_Toc124325896"/>
      <w:r>
        <w:rPr>
          <w:rFonts w:hint="eastAsia" w:ascii="彩虹粗仿宋" w:eastAsia="彩虹粗仿宋"/>
          <w:sz w:val="30"/>
        </w:rPr>
        <w:t>十二、基金份额持有人名册的保管</w:t>
      </w:r>
      <w:bookmarkEnd w:id="89"/>
    </w:p>
    <w:p w14:paraId="3BA8CCD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832D88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在基金托管人要求或编制中期报告和年报前，基金管理人应将有关资料送交基金托管人，不得无故拒绝或延误提供，并保证其的真实性、准确性和完整性。</w:t>
      </w:r>
      <w:r>
        <w:rPr>
          <w:rFonts w:hint="eastAsia" w:ascii="彩虹粗仿宋" w:hAnsi="宋体" w:eastAsia="彩虹粗仿宋"/>
          <w:kern w:val="0"/>
          <w:sz w:val="24"/>
        </w:rPr>
        <w:t>基金托管人不得将所保管的基金份额持有人名册用于基金托管业务以外的其他用途，并应遵守保密义务，法律法规另有规定或监管机关另有要求的除外。</w:t>
      </w:r>
    </w:p>
    <w:p w14:paraId="024B96B4">
      <w:pPr>
        <w:adjustRightInd w:val="0"/>
        <w:snapToGrid w:val="0"/>
        <w:rPr>
          <w:rFonts w:ascii="彩虹粗仿宋" w:hAnsi="宋体" w:eastAsia="彩虹粗仿宋" w:cs="Arial"/>
          <w:sz w:val="24"/>
        </w:rPr>
      </w:pPr>
    </w:p>
    <w:p w14:paraId="747E0905">
      <w:pPr>
        <w:pStyle w:val="2"/>
        <w:jc w:val="center"/>
        <w:rPr>
          <w:rFonts w:ascii="彩虹粗仿宋" w:eastAsia="彩虹粗仿宋"/>
          <w:sz w:val="30"/>
        </w:rPr>
      </w:pPr>
      <w:bookmarkStart w:id="90" w:name="_Toc124325897"/>
      <w:r>
        <w:rPr>
          <w:rFonts w:hint="eastAsia" w:ascii="彩虹粗仿宋" w:eastAsia="彩虹粗仿宋"/>
          <w:sz w:val="30"/>
        </w:rPr>
        <w:t>十三、基金有关文件档案的保存</w:t>
      </w:r>
      <w:bookmarkEnd w:id="90"/>
    </w:p>
    <w:p w14:paraId="2269BA4E">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（一）档案保存</w:t>
      </w:r>
    </w:p>
    <w:p w14:paraId="7E86D2E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DAD0235">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（二）合同档案的建立</w:t>
      </w:r>
    </w:p>
    <w:p w14:paraId="00AA2FE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1.基金管理人签署重大合同文本后，应及时将合同文本正本送达基金托管人处。</w:t>
      </w:r>
    </w:p>
    <w:p w14:paraId="06CB4D2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2.基金管理人应及时将与本基金账务处理、资金划拨等有关的合同、协议传真基金托管人。</w:t>
      </w:r>
    </w:p>
    <w:p w14:paraId="3C4E2C2C">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（三）变更与协助</w:t>
      </w:r>
    </w:p>
    <w:p w14:paraId="464F6730">
      <w:pPr>
        <w:adjustRightInd w:val="0"/>
        <w:snapToGrid w:val="0"/>
        <w:ind w:firstLine="480" w:firstLineChars="200"/>
        <w:rPr>
          <w:rFonts w:ascii="彩虹粗仿宋" w:eastAsia="彩虹粗仿宋"/>
          <w:b/>
          <w:bCs/>
          <w:sz w:val="30"/>
          <w:szCs w:val="30"/>
        </w:rPr>
      </w:pPr>
      <w:r>
        <w:rPr>
          <w:rFonts w:hint="eastAsia" w:ascii="彩虹粗仿宋" w:hAnsi="宋体" w:eastAsia="彩虹粗仿宋" w:cs="Arial"/>
          <w:sz w:val="24"/>
        </w:rPr>
        <w:t>若基金管理人/基金托管人发生变更，未变更的一方有义务协助变更后的接任人接收相应文件。</w:t>
      </w:r>
    </w:p>
    <w:p w14:paraId="6E6233D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（四）基金管理人和基金托管人应按各自职责完整保存原始凭证、记账凭证、基金账册、交易记录和重要合同等，承担保密义务并保存至少十五年以上</w:t>
      </w:r>
      <w:r>
        <w:rPr>
          <w:rFonts w:hint="eastAsia" w:ascii="彩虹粗仿宋" w:hAnsi="宋体" w:eastAsia="彩虹粗仿宋"/>
          <w:kern w:val="0"/>
          <w:sz w:val="24"/>
        </w:rPr>
        <w:t>，法律法规另有规定或监管机关另有要求的除外</w:t>
      </w:r>
      <w:r>
        <w:rPr>
          <w:rFonts w:hint="eastAsia" w:ascii="彩虹粗仿宋" w:hAnsi="宋体" w:eastAsia="彩虹粗仿宋" w:cs="Arial"/>
          <w:sz w:val="24"/>
        </w:rPr>
        <w:t>。</w:t>
      </w:r>
    </w:p>
    <w:p w14:paraId="3298723A">
      <w:pPr>
        <w:adjustRightInd w:val="0"/>
        <w:snapToGrid w:val="0"/>
        <w:rPr>
          <w:rFonts w:ascii="彩虹粗仿宋" w:eastAsia="彩虹粗仿宋"/>
          <w:sz w:val="30"/>
          <w:szCs w:val="30"/>
        </w:rPr>
      </w:pPr>
    </w:p>
    <w:p w14:paraId="3FE15478">
      <w:pPr>
        <w:pStyle w:val="2"/>
        <w:jc w:val="center"/>
        <w:rPr>
          <w:rFonts w:ascii="彩虹粗仿宋" w:eastAsia="彩虹粗仿宋"/>
          <w:sz w:val="30"/>
        </w:rPr>
      </w:pPr>
      <w:bookmarkStart w:id="91" w:name="_Toc124325898"/>
      <w:r>
        <w:rPr>
          <w:rFonts w:hint="eastAsia" w:ascii="彩虹粗仿宋" w:eastAsia="彩虹粗仿宋"/>
          <w:sz w:val="30"/>
        </w:rPr>
        <w:t>十四、基金管理人和基金托管人的更换</w:t>
      </w:r>
      <w:bookmarkEnd w:id="91"/>
    </w:p>
    <w:p w14:paraId="0A2492D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（一）基金管理人职责终止的情形</w:t>
      </w:r>
    </w:p>
    <w:p w14:paraId="1703AC6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1.基金管理人职责终止的情形</w:t>
      </w:r>
    </w:p>
    <w:p w14:paraId="6C4C5F6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有下列情形之一的，基金管理人职责终止：</w:t>
      </w:r>
    </w:p>
    <w:p w14:paraId="53D098E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(1)被依法取消基金管理资格；</w:t>
      </w:r>
    </w:p>
    <w:p w14:paraId="7D2DC92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(2)依法解散、被依法撤销或被依法宣告破产；</w:t>
      </w:r>
    </w:p>
    <w:p w14:paraId="370A9AC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(3)被基金份额持有人大会解任；</w:t>
      </w:r>
    </w:p>
    <w:p w14:paraId="7E5394D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(4)法律法规及中国证监会规定的和《基金合同》约定的其他情形。</w:t>
      </w:r>
    </w:p>
    <w:p w14:paraId="3DDFF46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2.基金管理人的更换程序</w:t>
      </w:r>
    </w:p>
    <w:p w14:paraId="4DA03CD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更换基金管理人必须依照如下程序进行：</w:t>
      </w:r>
    </w:p>
    <w:p w14:paraId="7624722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(1)提名：新任基金管理人由基金托管人</w:t>
      </w:r>
      <w:r>
        <w:rPr>
          <w:rFonts w:hint="eastAsia" w:ascii="彩虹粗仿宋" w:eastAsia="彩虹粗仿宋"/>
          <w:sz w:val="24"/>
        </w:rPr>
        <w:t>或由单独或合计持有10%以上(含10%)基金份额的基金份额持有人</w:t>
      </w:r>
      <w:r>
        <w:rPr>
          <w:rFonts w:hint="eastAsia" w:ascii="彩虹粗仿宋" w:hAnsi="宋体" w:eastAsia="彩虹粗仿宋" w:cs="Arial"/>
          <w:sz w:val="24"/>
        </w:rPr>
        <w:t>提名；</w:t>
      </w:r>
    </w:p>
    <w:p w14:paraId="4F1E016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(2)决议：基金份额持有人大会在基金管理人职责终止后6个月内对被提名的基金管理人形成决议，该决议需经参加大会的基金份额持有人所持表决权的三分之二以上(含三分之二)表决通过；</w:t>
      </w:r>
    </w:p>
    <w:p w14:paraId="29C8349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(3)临时基金管理人：新任基金管理人产生之前，由中国证监会指定临时基金管理人；</w:t>
      </w:r>
    </w:p>
    <w:p w14:paraId="68F874C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w:t>
      </w:r>
      <w:r>
        <w:rPr>
          <w:rFonts w:hint="eastAsia"/>
        </w:rPr>
        <w:t xml:space="preserve"> </w:t>
      </w:r>
      <w:r>
        <w:rPr>
          <w:rFonts w:hint="eastAsia" w:ascii="彩虹粗仿宋" w:hAnsi="宋体" w:eastAsia="彩虹粗仿宋" w:cs="Arial"/>
          <w:sz w:val="24"/>
        </w:rPr>
        <w:t>备案：基金份额持有人大会选任基金管理人的决议须报中国证监会备案；</w:t>
      </w:r>
    </w:p>
    <w:p w14:paraId="538A1BC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(5)公告：基金管理人更换后，由基金托管人在更换基金管理人的基金份额持有人大会决议生效后</w:t>
      </w:r>
      <w:r>
        <w:rPr>
          <w:rFonts w:ascii="彩虹粗仿宋" w:hAnsi="宋体" w:eastAsia="彩虹粗仿宋" w:cs="Arial"/>
          <w:sz w:val="24"/>
        </w:rPr>
        <w:t>按</w:t>
      </w:r>
      <w:r>
        <w:rPr>
          <w:rFonts w:hint="eastAsia" w:ascii="彩虹粗仿宋" w:hAnsi="宋体" w:eastAsia="彩虹粗仿宋" w:cs="Arial"/>
          <w:sz w:val="24"/>
        </w:rPr>
        <w:t>规定在指定媒介公告；</w:t>
      </w:r>
    </w:p>
    <w:p w14:paraId="4BD7B10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1DF19A9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(7)审计：基金管理人职责终止的，应当按照法律法规规定聘请会计师事务所对基金财产进行审计，并将审计结果予以公告，同时报中国证监会备案，审计费用在基金财产中列支；</w:t>
      </w:r>
    </w:p>
    <w:p w14:paraId="41D3686B">
      <w:pPr>
        <w:adjustRightInd w:val="0"/>
        <w:snapToGrid w:val="0"/>
        <w:ind w:firstLine="480" w:firstLineChars="200"/>
        <w:rPr>
          <w:rFonts w:ascii="彩虹粗仿宋" w:eastAsia="彩虹粗仿宋"/>
          <w:sz w:val="30"/>
          <w:szCs w:val="30"/>
        </w:rPr>
      </w:pPr>
      <w:r>
        <w:rPr>
          <w:rFonts w:hint="eastAsia" w:ascii="彩虹粗仿宋" w:hAnsi="宋体" w:eastAsia="彩虹粗仿宋" w:cs="Arial"/>
          <w:sz w:val="24"/>
        </w:rPr>
        <w:t>(8)基金名称变更：基金管理人更换后，如果原任或新任基金管理人要求，应按其要求替换或删除基金名称中与原基金管理人有关的名称字样。</w:t>
      </w:r>
    </w:p>
    <w:p w14:paraId="50CB509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（二）基金托管人职责终止的情形</w:t>
      </w:r>
    </w:p>
    <w:p w14:paraId="4804AEA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1.基金托管人职责终止的情形</w:t>
      </w:r>
    </w:p>
    <w:p w14:paraId="42FD6AB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有下列情形之一的，基金托管人职责终止：</w:t>
      </w:r>
    </w:p>
    <w:p w14:paraId="36B96ED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(1)被依法取消基金托管资格；</w:t>
      </w:r>
    </w:p>
    <w:p w14:paraId="6E481DE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(2)依法解散、被依法撤销或被依法宣告破产；</w:t>
      </w:r>
    </w:p>
    <w:p w14:paraId="6419BAF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(3)被基金份额持有人大会解任；</w:t>
      </w:r>
    </w:p>
    <w:p w14:paraId="27AA19F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(4)法律法规及中国证监会规定的和《基金合同》约定的其他情形。</w:t>
      </w:r>
    </w:p>
    <w:p w14:paraId="328DB45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2.基金托管人的更换程序</w:t>
      </w:r>
    </w:p>
    <w:p w14:paraId="76834D2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(1)提名：新任基金托管人由基金管理人</w:t>
      </w:r>
      <w:r>
        <w:rPr>
          <w:rFonts w:hint="eastAsia" w:ascii="彩虹粗仿宋" w:eastAsia="彩虹粗仿宋"/>
          <w:sz w:val="24"/>
        </w:rPr>
        <w:t>或由单独或合计持有10%以上(含10%)基金份额的基金份额持有人</w:t>
      </w:r>
      <w:r>
        <w:rPr>
          <w:rFonts w:hint="eastAsia" w:ascii="彩虹粗仿宋" w:hAnsi="宋体" w:eastAsia="彩虹粗仿宋" w:cs="Arial"/>
          <w:sz w:val="24"/>
        </w:rPr>
        <w:t>提名；</w:t>
      </w:r>
    </w:p>
    <w:p w14:paraId="74FDAEA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(2)决议：基金份额持有人大会在基金托管人职责终止后6个月内对被提名的基金托管人形成决议，该决议需经参加大会的基金份额持有人所持表决权的三分之二以上(含三分之二)表决通过；</w:t>
      </w:r>
    </w:p>
    <w:p w14:paraId="1F5784A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(3)临时基金托管人：新任基金托管人产生之前，由中国证监会指定临时基金托管人；</w:t>
      </w:r>
    </w:p>
    <w:p w14:paraId="2DDA8DA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w:t>
      </w:r>
      <w:r>
        <w:rPr>
          <w:rFonts w:hint="eastAsia"/>
        </w:rPr>
        <w:t xml:space="preserve"> </w:t>
      </w:r>
      <w:r>
        <w:rPr>
          <w:rFonts w:hint="eastAsia" w:ascii="彩虹粗仿宋" w:hAnsi="宋体" w:eastAsia="彩虹粗仿宋" w:cs="Arial"/>
          <w:sz w:val="24"/>
        </w:rPr>
        <w:t>备案：基金份额持有人大会更换基金托管人的决议须报中国证监会备案；</w:t>
      </w:r>
    </w:p>
    <w:p w14:paraId="0ECC818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(5)公告：基金托管人更换后，由基金管理人在更换基金托管人的基金份额持有人大会决议生效后</w:t>
      </w:r>
      <w:r>
        <w:rPr>
          <w:rFonts w:ascii="彩虹粗仿宋" w:hAnsi="宋体" w:eastAsia="彩虹粗仿宋" w:cs="Arial"/>
          <w:sz w:val="24"/>
        </w:rPr>
        <w:t>按</w:t>
      </w:r>
      <w:r>
        <w:rPr>
          <w:rFonts w:hint="eastAsia" w:ascii="彩虹粗仿宋" w:hAnsi="宋体" w:eastAsia="彩虹粗仿宋" w:cs="Arial"/>
          <w:sz w:val="24"/>
        </w:rPr>
        <w:t>规定在指定媒介公告；</w:t>
      </w:r>
    </w:p>
    <w:p w14:paraId="5806AA0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558AAA1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(7)审计：基金托管人职责终止的，应当按照法律法规规定聘请会计师事务所对基金财产进行审计，并将审计结果予以公告，同时报中国证监会备案，审计费用在基金财产中列支。</w:t>
      </w:r>
    </w:p>
    <w:p w14:paraId="269256F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（三）基金管理人与基金托管人同时更换的条件和程序</w:t>
      </w:r>
    </w:p>
    <w:p w14:paraId="464525E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1.提名：如果基金管理人和基金托管人同时更换，由单独或合计持有基金总份额10%以上(含10%)的基金份额持有人提名新的基金管理人和基金托管人；</w:t>
      </w:r>
    </w:p>
    <w:p w14:paraId="5D96A9B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2.基金管理人和基金托管人的更换分别按上述程序进行；</w:t>
      </w:r>
    </w:p>
    <w:p w14:paraId="592DE13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3.公告：新任基金管理人和新任基金托管人应在更换基金管理人和基金托管人的基金份额持有人大会决议生效后</w:t>
      </w:r>
      <w:r>
        <w:rPr>
          <w:rFonts w:ascii="彩虹粗仿宋" w:hAnsi="宋体" w:eastAsia="彩虹粗仿宋" w:cs="Arial"/>
          <w:sz w:val="24"/>
        </w:rPr>
        <w:t>按规定</w:t>
      </w:r>
      <w:r>
        <w:rPr>
          <w:rFonts w:hint="eastAsia" w:ascii="彩虹粗仿宋" w:hAnsi="宋体" w:eastAsia="彩虹粗仿宋" w:cs="Arial"/>
          <w:sz w:val="24"/>
        </w:rPr>
        <w:t>在指定媒介上联合公告。</w:t>
      </w:r>
    </w:p>
    <w:p w14:paraId="4F9D118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024731CA">
      <w:pPr>
        <w:adjustRightInd w:val="0"/>
        <w:snapToGrid w:val="0"/>
        <w:rPr>
          <w:rFonts w:ascii="彩虹粗仿宋" w:hAnsi="宋体" w:eastAsia="彩虹粗仿宋" w:cs="Arial"/>
          <w:sz w:val="24"/>
        </w:rPr>
      </w:pPr>
    </w:p>
    <w:p w14:paraId="2371F7BE">
      <w:pPr>
        <w:pStyle w:val="2"/>
        <w:jc w:val="center"/>
        <w:rPr>
          <w:rFonts w:ascii="彩虹粗仿宋" w:eastAsia="彩虹粗仿宋"/>
          <w:sz w:val="30"/>
        </w:rPr>
      </w:pPr>
      <w:bookmarkStart w:id="92" w:name="_Toc124325899"/>
      <w:r>
        <w:rPr>
          <w:rFonts w:hint="eastAsia" w:ascii="彩虹粗仿宋" w:eastAsia="彩虹粗仿宋"/>
          <w:sz w:val="30"/>
        </w:rPr>
        <w:t>十五、禁止行为</w:t>
      </w:r>
      <w:bookmarkEnd w:id="92"/>
    </w:p>
    <w:p w14:paraId="2342EB2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本协议当事人禁止从事的行为，包括但不限于：</w:t>
      </w:r>
    </w:p>
    <w:p w14:paraId="3C23BCB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（一）基金管理人、基金托管人将其固有财产或者他人财产混同于基金财产从事证券投资。</w:t>
      </w:r>
    </w:p>
    <w:p w14:paraId="53AA1A9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（二）基金管理人不公平地对待其管理的不同基金财产，基金托管人不公平地对待其托管的不同基金财产。</w:t>
      </w:r>
    </w:p>
    <w:p w14:paraId="68D32D7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（三）基金管理人、基金托管人利用基金财产为基金份额持有人以外的第三人牟取利益。</w:t>
      </w:r>
    </w:p>
    <w:p w14:paraId="056D5CE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（四）基金管理人、基金托管人向基金份额持有人违规承诺收益或者承担损失。</w:t>
      </w:r>
    </w:p>
    <w:p w14:paraId="230F78D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（五）基金管理人、基金托管人对他人泄漏基金运作和管理过程中任何尚未按法律法规规定的方式公开披露的信息。</w:t>
      </w:r>
    </w:p>
    <w:p w14:paraId="7530530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（六）基金管理人在没有充足资金的情况下向基金托管人发出投资指令和赎回、分红资金的划拨指令，或违规向基金托管人发出指令。</w:t>
      </w:r>
    </w:p>
    <w:p w14:paraId="5A93672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（七）基金管理人、基金托管人在行政上、财务上不独立, 其高级管理人员和其他从业人员相互兼职。</w:t>
      </w:r>
    </w:p>
    <w:p w14:paraId="00929A32">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（八）基金托管人私自动用或处分基金财产，根据基金管理人的合法指令、《基金合同》或托管协议的规定进行处分的除外。</w:t>
      </w:r>
    </w:p>
    <w:p w14:paraId="523AC87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九）基金财产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法律法规或监管部门取消上述限制，如适用于本基金，则本基金投资不再受相关限制。</w:t>
      </w:r>
    </w:p>
    <w:p w14:paraId="430C5DB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FB64E6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（十）法律法规和《基金合同》禁止的其他行为，以及依照法律、行政法规有关规定，由国务院证券监督管理机构规定禁止基金管理人、基金托管人从事的其他行为。</w:t>
      </w:r>
    </w:p>
    <w:p w14:paraId="4AC3A601">
      <w:pPr>
        <w:adjustRightInd w:val="0"/>
        <w:snapToGrid w:val="0"/>
        <w:rPr>
          <w:rFonts w:ascii="彩虹粗仿宋" w:eastAsia="彩虹粗仿宋"/>
          <w:sz w:val="30"/>
          <w:szCs w:val="30"/>
        </w:rPr>
      </w:pPr>
    </w:p>
    <w:p w14:paraId="5D382B08">
      <w:pPr>
        <w:pStyle w:val="2"/>
        <w:jc w:val="center"/>
        <w:rPr>
          <w:rFonts w:ascii="彩虹粗仿宋" w:eastAsia="彩虹粗仿宋"/>
          <w:sz w:val="30"/>
        </w:rPr>
      </w:pPr>
      <w:bookmarkStart w:id="93" w:name="_Toc124325900"/>
      <w:r>
        <w:rPr>
          <w:rFonts w:hint="eastAsia" w:ascii="彩虹粗仿宋" w:eastAsia="彩虹粗仿宋"/>
          <w:sz w:val="30"/>
        </w:rPr>
        <w:t>十六、托管协议的变更、终止与基金财产的清算</w:t>
      </w:r>
      <w:bookmarkEnd w:id="93"/>
    </w:p>
    <w:p w14:paraId="787ACE4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（一）托管协议的变更程序</w:t>
      </w:r>
    </w:p>
    <w:p w14:paraId="36B56ABA">
      <w:pPr>
        <w:adjustRightInd w:val="0"/>
        <w:snapToGrid w:val="0"/>
        <w:ind w:firstLine="480" w:firstLineChars="200"/>
        <w:rPr>
          <w:rFonts w:ascii="彩虹粗仿宋" w:eastAsia="彩虹粗仿宋"/>
          <w:sz w:val="30"/>
          <w:szCs w:val="30"/>
        </w:rPr>
      </w:pPr>
      <w:r>
        <w:rPr>
          <w:rFonts w:hint="eastAsia" w:ascii="彩虹粗仿宋" w:hAnsi="宋体" w:eastAsia="彩虹粗仿宋" w:cs="Arial"/>
          <w:sz w:val="24"/>
        </w:rPr>
        <w:t>本协议双方当事人经协商一致，可以对协议进行修改。修改后的新协议，其内容不得与《基金合同》的规定有任何冲突。基金托管协议的变更报中国证监会备案。</w:t>
      </w:r>
    </w:p>
    <w:p w14:paraId="351363A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（二）基金托管协议终止出现的情形</w:t>
      </w:r>
    </w:p>
    <w:p w14:paraId="0605691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1.《基金合同》终止；</w:t>
      </w:r>
    </w:p>
    <w:p w14:paraId="0DA3DD7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2.基金托管人解散、依法被撤销、破产或由其他基金托管人接管基金资产；</w:t>
      </w:r>
    </w:p>
    <w:p w14:paraId="36E22A1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3.基金管理人解散、依法被撤销、破产或由其他基金管理人接管基金管理权；</w:t>
      </w:r>
    </w:p>
    <w:p w14:paraId="5DE9A539">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4.发生法律法规或《基金合同》规定的终止事项。</w:t>
      </w:r>
    </w:p>
    <w:p w14:paraId="0A87C06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（三）基金财产的清算</w:t>
      </w:r>
    </w:p>
    <w:p w14:paraId="1EEF4450">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1.基金财产清算小组：自出现《基金合同》终止事由之日起30个工作日内成立清算小组，基金管理人组织基金财产清算小组并在中国证监会的监督下进行基金清算。</w:t>
      </w:r>
    </w:p>
    <w:p w14:paraId="52EE4F2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2.基金财产清算小组组成：基金财产清算小组成员由基金管理人、基金托管人、具有从事证券、</w:t>
      </w:r>
      <w:r>
        <w:rPr>
          <w:rFonts w:ascii="彩虹粗仿宋" w:hAnsi="宋体" w:eastAsia="彩虹粗仿宋" w:cs="Arial"/>
          <w:sz w:val="24"/>
        </w:rPr>
        <w:t>期货</w:t>
      </w:r>
      <w:r>
        <w:rPr>
          <w:rFonts w:hint="eastAsia" w:ascii="彩虹粗仿宋" w:hAnsi="宋体" w:eastAsia="彩虹粗仿宋" w:cs="Arial"/>
          <w:sz w:val="24"/>
        </w:rPr>
        <w:t>相关业务资格的注册会计师、律师以及中国证监会指定的人员组成。基金财产清算小组可以聘用必要的工作人员。</w:t>
      </w:r>
    </w:p>
    <w:p w14:paraId="6B6C168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3.基金财产清算小组职责：基金财产清算小组负责基金财产的保管、清理、估价、变现和分配。基金财产清算小组可以依法进行必要的民事活动。</w:t>
      </w:r>
    </w:p>
    <w:p w14:paraId="52E4872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4.基金财产清算程序：</w:t>
      </w:r>
    </w:p>
    <w:p w14:paraId="256A4D65">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(1)《基金合同》终止情形出现时，由基金财产清算小组统一接管基金；</w:t>
      </w:r>
    </w:p>
    <w:p w14:paraId="1FB5E09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(2)对基金财产和债权债务进行清理和确认；</w:t>
      </w:r>
    </w:p>
    <w:p w14:paraId="64D4776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(3)对基金财产进行估值和变现；</w:t>
      </w:r>
    </w:p>
    <w:p w14:paraId="723EF72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(4)制作清算报告；</w:t>
      </w:r>
    </w:p>
    <w:p w14:paraId="731CDD3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(5)聘请会计师事务所对清算报告进行外部审计，聘请律师事务所对清算报告出具法律意见书；</w:t>
      </w:r>
    </w:p>
    <w:p w14:paraId="68899D96">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(6)将清算结果报中国证监会备案并公告；</w:t>
      </w:r>
    </w:p>
    <w:p w14:paraId="2AA1BCA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(7)对基金剩余财产进行分配。</w:t>
      </w:r>
    </w:p>
    <w:p w14:paraId="47FBF45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5.基金财产清算的期限为6个月。</w:t>
      </w:r>
    </w:p>
    <w:p w14:paraId="41E25C4B">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6.清算费用</w:t>
      </w:r>
    </w:p>
    <w:p w14:paraId="76495ED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清算费用是指基金财产清算小组在进行基金清算过程中发生的所有合理费用，清算费用由基金财产清算小组优先从基金财产中支付。</w:t>
      </w:r>
    </w:p>
    <w:p w14:paraId="4AEBA17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7.基金财产清算剩余资产的分配：</w:t>
      </w:r>
    </w:p>
    <w:p w14:paraId="120CCF2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依据基金财产清算的分配方案，将基金财产清算后的全部剩余资产扣除基金财产清算费用、交纳所欠税款并清偿基金债务后，按</w:t>
      </w:r>
      <w:r>
        <w:rPr>
          <w:rFonts w:hint="eastAsia" w:cs="Arial"/>
          <w:sz w:val="24"/>
          <w:szCs w:val="21"/>
        </w:rPr>
        <w:t>各类</w:t>
      </w:r>
      <w:r>
        <w:rPr>
          <w:rFonts w:hint="eastAsia" w:ascii="彩虹粗仿宋" w:hAnsi="宋体" w:eastAsia="彩虹粗仿宋" w:cs="Arial"/>
          <w:sz w:val="24"/>
        </w:rPr>
        <w:t>基金份额持有人持有的相应类别的基金份额比例进行分配。</w:t>
      </w:r>
    </w:p>
    <w:p w14:paraId="031888C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8.基金财产清算的公告</w:t>
      </w:r>
    </w:p>
    <w:p w14:paraId="6637A35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BD20D5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9.基金财产清算账册及文件的保存</w:t>
      </w:r>
    </w:p>
    <w:p w14:paraId="6AC345BF">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基金财产清算账册及有关文件由基金托管人保存15年以上。</w:t>
      </w:r>
    </w:p>
    <w:p w14:paraId="4D578522">
      <w:pPr>
        <w:adjustRightInd w:val="0"/>
        <w:snapToGrid w:val="0"/>
        <w:rPr>
          <w:rFonts w:ascii="彩虹粗仿宋" w:hAnsi="宋体" w:eastAsia="彩虹粗仿宋" w:cs="Arial"/>
          <w:sz w:val="24"/>
        </w:rPr>
      </w:pPr>
    </w:p>
    <w:p w14:paraId="6E8E90AA">
      <w:pPr>
        <w:pStyle w:val="2"/>
        <w:jc w:val="center"/>
        <w:rPr>
          <w:rFonts w:ascii="彩虹粗仿宋" w:eastAsia="彩虹粗仿宋"/>
          <w:sz w:val="30"/>
        </w:rPr>
      </w:pPr>
      <w:bookmarkStart w:id="94" w:name="_Toc124325901"/>
      <w:r>
        <w:rPr>
          <w:rFonts w:hint="eastAsia" w:ascii="彩虹粗仿宋" w:eastAsia="彩虹粗仿宋"/>
          <w:sz w:val="30"/>
        </w:rPr>
        <w:t>十七、违约责任</w:t>
      </w:r>
      <w:bookmarkEnd w:id="94"/>
    </w:p>
    <w:p w14:paraId="5ACF6B1C">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（一）基金管理人、基金托管人不履行本协议或履行本协议不符合约定的，应当承担违约责任。</w:t>
      </w:r>
    </w:p>
    <w:p w14:paraId="176B5E44">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F0C69DE">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2B37A0A7">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1.不可抗力；</w:t>
      </w:r>
    </w:p>
    <w:p w14:paraId="139D695C">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2.基金管理人、基金托管人按照当时有效的法律法规或中国证监会的规定作为或不作为而造成的损失等；</w:t>
      </w:r>
    </w:p>
    <w:p w14:paraId="05A25B9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3.在没有过错的情况下，基金管理人由于按照《基金合同》规定的投资原则投资或不投资造成的直接损失或潜在损失等；</w:t>
      </w:r>
    </w:p>
    <w:p w14:paraId="13FB450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（四）一方当事人违约，另一方当事人在职责范围内有义务及时采取必要的措施，尽力防止损失的扩大。</w:t>
      </w:r>
    </w:p>
    <w:p w14:paraId="58D4B99E">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（五）违约行为虽已发生，但本托管协议能够继续履行的，在最大限度地保护基金份额持有人利益的前提下，基金管理人和基金托管人应当继续履行本协议。</w:t>
      </w:r>
    </w:p>
    <w:p w14:paraId="448CDC09">
      <w:pPr>
        <w:adjustRightInd w:val="0"/>
        <w:snapToGrid w:val="0"/>
        <w:ind w:firstLine="480" w:firstLineChars="200"/>
        <w:outlineLvl w:val="0"/>
        <w:rPr>
          <w:rFonts w:ascii="彩虹粗仿宋" w:hAnsi="宋体" w:eastAsia="彩虹粗仿宋" w:cs="Arial"/>
          <w:sz w:val="24"/>
        </w:rPr>
      </w:pPr>
      <w:r>
        <w:rPr>
          <w:rFonts w:hint="eastAsia" w:ascii="彩虹粗仿宋" w:hAnsi="宋体" w:eastAsia="彩虹粗仿宋" w:cs="Arial"/>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0B898ED7">
      <w:pPr>
        <w:adjustRightInd w:val="0"/>
        <w:snapToGrid w:val="0"/>
        <w:outlineLvl w:val="0"/>
        <w:rPr>
          <w:rFonts w:ascii="彩虹粗仿宋" w:hAnsi="宋体" w:eastAsia="彩虹粗仿宋" w:cs="Arial"/>
          <w:sz w:val="24"/>
        </w:rPr>
      </w:pPr>
    </w:p>
    <w:p w14:paraId="63090F21">
      <w:pPr>
        <w:pStyle w:val="2"/>
        <w:jc w:val="center"/>
        <w:rPr>
          <w:rFonts w:ascii="彩虹粗仿宋" w:eastAsia="彩虹粗仿宋"/>
          <w:sz w:val="30"/>
        </w:rPr>
      </w:pPr>
      <w:bookmarkStart w:id="95" w:name="_Toc124325902"/>
      <w:r>
        <w:rPr>
          <w:rFonts w:hint="eastAsia" w:ascii="彩虹粗仿宋" w:eastAsia="彩虹粗仿宋"/>
          <w:sz w:val="30"/>
        </w:rPr>
        <w:t>十八、争议解决方式</w:t>
      </w:r>
      <w:bookmarkEnd w:id="95"/>
    </w:p>
    <w:p w14:paraId="7025E25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律师费用由败诉方承担。</w:t>
      </w:r>
    </w:p>
    <w:p w14:paraId="5819B07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争议处理期间，双方当事人应恪守基金管理人和基金托管人职责，各自继续忠实、勤勉、尽责地履行《基金合同》和本托管协议规定的义务，维护基金份额持有人的合法权益。</w:t>
      </w:r>
    </w:p>
    <w:p w14:paraId="67F1A18A">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本协议受中国法律管辖。</w:t>
      </w:r>
    </w:p>
    <w:p w14:paraId="7E231103">
      <w:pPr>
        <w:adjustRightInd w:val="0"/>
        <w:snapToGrid w:val="0"/>
        <w:rPr>
          <w:rFonts w:ascii="彩虹粗仿宋" w:hAnsi="宋体" w:eastAsia="彩虹粗仿宋" w:cs="Arial"/>
          <w:sz w:val="24"/>
        </w:rPr>
      </w:pPr>
    </w:p>
    <w:p w14:paraId="6926ED58">
      <w:pPr>
        <w:pStyle w:val="2"/>
        <w:jc w:val="center"/>
        <w:rPr>
          <w:rFonts w:ascii="彩虹粗仿宋" w:eastAsia="彩虹粗仿宋"/>
          <w:sz w:val="30"/>
        </w:rPr>
      </w:pPr>
      <w:bookmarkStart w:id="96" w:name="_Toc124325903"/>
      <w:r>
        <w:rPr>
          <w:rFonts w:hint="eastAsia" w:ascii="彩虹粗仿宋" w:eastAsia="彩虹粗仿宋"/>
          <w:sz w:val="30"/>
        </w:rPr>
        <w:t>十九、托管协议的效力</w:t>
      </w:r>
      <w:bookmarkEnd w:id="96"/>
    </w:p>
    <w:p w14:paraId="62A893F1">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双方对托管协议的效力约定如下：</w:t>
      </w:r>
    </w:p>
    <w:p w14:paraId="34DDC05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C7941F3">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（二）托管协议自《基金合同》成立之日起成立，自《基金合同》生效之日起生效。托管协议的有效期自其生效之日起至基金财产清算结果报中国证监会备案并公告之日止。</w:t>
      </w:r>
    </w:p>
    <w:p w14:paraId="05967364">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（三）托管协议自生效之日起对托管协议当事人具有同等的法律约束力。</w:t>
      </w:r>
    </w:p>
    <w:p w14:paraId="3432CAF2">
      <w:pPr>
        <w:adjustRightInd w:val="0"/>
        <w:snapToGrid w:val="0"/>
        <w:ind w:firstLine="480" w:firstLineChars="200"/>
        <w:rPr>
          <w:rFonts w:ascii="彩虹粗仿宋" w:eastAsia="彩虹粗仿宋"/>
          <w:sz w:val="30"/>
          <w:szCs w:val="30"/>
        </w:rPr>
      </w:pPr>
      <w:r>
        <w:rPr>
          <w:rFonts w:hint="eastAsia" w:ascii="彩虹粗仿宋" w:hAnsi="宋体" w:eastAsia="彩虹粗仿宋" w:cs="Arial"/>
          <w:sz w:val="24"/>
        </w:rPr>
        <w:t>（四）本协议一式六份，协议双方各持二份，上报监管机构二份，每份具有同等的法律效力。</w:t>
      </w:r>
    </w:p>
    <w:p w14:paraId="4495EDC5">
      <w:pPr>
        <w:adjustRightInd w:val="0"/>
        <w:snapToGrid w:val="0"/>
        <w:rPr>
          <w:rFonts w:ascii="彩虹粗仿宋" w:hAnsi="宋体" w:eastAsia="彩虹粗仿宋" w:cs="Arial"/>
          <w:sz w:val="24"/>
        </w:rPr>
      </w:pPr>
    </w:p>
    <w:p w14:paraId="0A28F0E2">
      <w:pPr>
        <w:pStyle w:val="2"/>
        <w:jc w:val="center"/>
        <w:rPr>
          <w:rFonts w:ascii="彩虹粗仿宋" w:eastAsia="彩虹粗仿宋"/>
          <w:sz w:val="30"/>
        </w:rPr>
      </w:pPr>
      <w:bookmarkStart w:id="97" w:name="_Toc124325904"/>
      <w:r>
        <w:rPr>
          <w:rFonts w:hint="eastAsia" w:ascii="彩虹粗仿宋" w:eastAsia="彩虹粗仿宋"/>
          <w:sz w:val="30"/>
        </w:rPr>
        <w:t>二十、其他事项</w:t>
      </w:r>
      <w:bookmarkEnd w:id="97"/>
    </w:p>
    <w:p w14:paraId="0BC7D778">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如发生有权司法机关依法冻结基金份额持有人的基金份额时，基金管理人应予以配合，承担司法协助义务。</w:t>
      </w:r>
    </w:p>
    <w:p w14:paraId="1C9EB88E">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除本协议有明确定义外，本协议的用语定义适用《基金合同》的约定。本协议未尽事宜，当事人依据《基金合同》、有关法律法规等规定协商办理。</w:t>
      </w:r>
    </w:p>
    <w:p w14:paraId="250945B4">
      <w:pPr>
        <w:adjustRightInd w:val="0"/>
        <w:snapToGrid w:val="0"/>
        <w:rPr>
          <w:rFonts w:ascii="彩虹粗仿宋" w:eastAsia="彩虹粗仿宋"/>
          <w:b/>
          <w:bCs/>
        </w:rPr>
      </w:pPr>
    </w:p>
    <w:p w14:paraId="7A84B278">
      <w:pPr>
        <w:pStyle w:val="2"/>
        <w:jc w:val="center"/>
        <w:rPr>
          <w:rFonts w:ascii="彩虹粗仿宋" w:eastAsia="彩虹粗仿宋"/>
          <w:sz w:val="30"/>
        </w:rPr>
      </w:pPr>
      <w:bookmarkStart w:id="98" w:name="_Toc124325905"/>
      <w:r>
        <w:rPr>
          <w:rFonts w:hint="eastAsia" w:ascii="彩虹粗仿宋" w:eastAsia="彩虹粗仿宋"/>
          <w:sz w:val="30"/>
        </w:rPr>
        <w:t>二十一、托管协议的签订</w:t>
      </w:r>
      <w:bookmarkEnd w:id="98"/>
    </w:p>
    <w:p w14:paraId="2DE6F0BD">
      <w:pPr>
        <w:adjustRightInd w:val="0"/>
        <w:snapToGrid w:val="0"/>
        <w:ind w:firstLine="480" w:firstLineChars="200"/>
        <w:rPr>
          <w:rFonts w:ascii="彩虹粗仿宋" w:hAnsi="宋体" w:eastAsia="彩虹粗仿宋" w:cs="Arial"/>
          <w:sz w:val="24"/>
        </w:rPr>
      </w:pPr>
      <w:r>
        <w:rPr>
          <w:rFonts w:hint="eastAsia" w:ascii="彩虹粗仿宋" w:hAnsi="宋体" w:eastAsia="彩虹粗仿宋" w:cs="Arial"/>
          <w:sz w:val="24"/>
        </w:rPr>
        <w:t>本协议双方法定代表人或授权代表人签章、签订地、签订日。</w:t>
      </w:r>
    </w:p>
    <w:p w14:paraId="630D243E">
      <w:pPr>
        <w:spacing w:line="360" w:lineRule="auto"/>
        <w:ind w:right="26"/>
        <w:rPr>
          <w:rFonts w:ascii="彩虹粗仿宋" w:hAnsi="宋体" w:eastAsia="彩虹粗仿宋" w:cs="Arial"/>
          <w:sz w:val="24"/>
        </w:rPr>
      </w:pPr>
    </w:p>
    <w:sectPr>
      <w:headerReference r:id="rId3" w:type="default"/>
      <w:footerReference r:id="rId4"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D3B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8CFEE">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7A1"/>
    <w:rsid w:val="00001942"/>
    <w:rsid w:val="00001AB6"/>
    <w:rsid w:val="000061B7"/>
    <w:rsid w:val="00010FA9"/>
    <w:rsid w:val="000218D0"/>
    <w:rsid w:val="00022271"/>
    <w:rsid w:val="00025DAA"/>
    <w:rsid w:val="0002737C"/>
    <w:rsid w:val="000319D8"/>
    <w:rsid w:val="00035C77"/>
    <w:rsid w:val="000376B5"/>
    <w:rsid w:val="000403DC"/>
    <w:rsid w:val="00042C04"/>
    <w:rsid w:val="00043667"/>
    <w:rsid w:val="00043FE5"/>
    <w:rsid w:val="00047C12"/>
    <w:rsid w:val="00047FC0"/>
    <w:rsid w:val="00051E07"/>
    <w:rsid w:val="000567AA"/>
    <w:rsid w:val="0006642D"/>
    <w:rsid w:val="00071FC1"/>
    <w:rsid w:val="00076761"/>
    <w:rsid w:val="000802A2"/>
    <w:rsid w:val="00096648"/>
    <w:rsid w:val="00096AAA"/>
    <w:rsid w:val="000A01B7"/>
    <w:rsid w:val="000A0416"/>
    <w:rsid w:val="000A06A0"/>
    <w:rsid w:val="000A1E60"/>
    <w:rsid w:val="000B01C8"/>
    <w:rsid w:val="000B507D"/>
    <w:rsid w:val="000C100E"/>
    <w:rsid w:val="000C4736"/>
    <w:rsid w:val="000C4D78"/>
    <w:rsid w:val="000C66D3"/>
    <w:rsid w:val="000C78B6"/>
    <w:rsid w:val="000D0580"/>
    <w:rsid w:val="000D4C04"/>
    <w:rsid w:val="000E4092"/>
    <w:rsid w:val="000E493F"/>
    <w:rsid w:val="000F04DF"/>
    <w:rsid w:val="000F1214"/>
    <w:rsid w:val="000F12EA"/>
    <w:rsid w:val="000F3A96"/>
    <w:rsid w:val="000F5D64"/>
    <w:rsid w:val="000F6949"/>
    <w:rsid w:val="00100026"/>
    <w:rsid w:val="00101BCD"/>
    <w:rsid w:val="0010566C"/>
    <w:rsid w:val="001074B4"/>
    <w:rsid w:val="00112FE8"/>
    <w:rsid w:val="00113072"/>
    <w:rsid w:val="0011579A"/>
    <w:rsid w:val="00115C96"/>
    <w:rsid w:val="001305B0"/>
    <w:rsid w:val="00130A39"/>
    <w:rsid w:val="0013367F"/>
    <w:rsid w:val="0013733D"/>
    <w:rsid w:val="00141003"/>
    <w:rsid w:val="0014766B"/>
    <w:rsid w:val="001515BF"/>
    <w:rsid w:val="00156EA6"/>
    <w:rsid w:val="00157185"/>
    <w:rsid w:val="001636D5"/>
    <w:rsid w:val="00164E90"/>
    <w:rsid w:val="00172EB6"/>
    <w:rsid w:val="00175369"/>
    <w:rsid w:val="00180628"/>
    <w:rsid w:val="0018074E"/>
    <w:rsid w:val="00182D7B"/>
    <w:rsid w:val="00190173"/>
    <w:rsid w:val="0019144E"/>
    <w:rsid w:val="00191F19"/>
    <w:rsid w:val="00192878"/>
    <w:rsid w:val="00195EE5"/>
    <w:rsid w:val="001A4F20"/>
    <w:rsid w:val="001A79E2"/>
    <w:rsid w:val="001B07DD"/>
    <w:rsid w:val="001B1767"/>
    <w:rsid w:val="001B392E"/>
    <w:rsid w:val="001B3B5D"/>
    <w:rsid w:val="001B3BBF"/>
    <w:rsid w:val="001B598B"/>
    <w:rsid w:val="001E617B"/>
    <w:rsid w:val="001F1329"/>
    <w:rsid w:val="001F259C"/>
    <w:rsid w:val="001F44C7"/>
    <w:rsid w:val="001F5ADB"/>
    <w:rsid w:val="001F68EC"/>
    <w:rsid w:val="002006FC"/>
    <w:rsid w:val="00202706"/>
    <w:rsid w:val="00206796"/>
    <w:rsid w:val="00207830"/>
    <w:rsid w:val="00215762"/>
    <w:rsid w:val="00223860"/>
    <w:rsid w:val="00224E70"/>
    <w:rsid w:val="002259D8"/>
    <w:rsid w:val="002259F3"/>
    <w:rsid w:val="00237A99"/>
    <w:rsid w:val="00237DF2"/>
    <w:rsid w:val="00237EC3"/>
    <w:rsid w:val="00244CC3"/>
    <w:rsid w:val="002467D7"/>
    <w:rsid w:val="0025107C"/>
    <w:rsid w:val="00253100"/>
    <w:rsid w:val="00261C12"/>
    <w:rsid w:val="00265BE4"/>
    <w:rsid w:val="002758C8"/>
    <w:rsid w:val="00277589"/>
    <w:rsid w:val="002813CE"/>
    <w:rsid w:val="0028442A"/>
    <w:rsid w:val="002845A8"/>
    <w:rsid w:val="00285E1A"/>
    <w:rsid w:val="0028655B"/>
    <w:rsid w:val="00287B07"/>
    <w:rsid w:val="00291CCE"/>
    <w:rsid w:val="00294855"/>
    <w:rsid w:val="00296283"/>
    <w:rsid w:val="002972A1"/>
    <w:rsid w:val="002A1517"/>
    <w:rsid w:val="002A195E"/>
    <w:rsid w:val="002A1D76"/>
    <w:rsid w:val="002A4680"/>
    <w:rsid w:val="002B0CC0"/>
    <w:rsid w:val="002B6898"/>
    <w:rsid w:val="002B758D"/>
    <w:rsid w:val="002C0CE8"/>
    <w:rsid w:val="002C79A7"/>
    <w:rsid w:val="002D2441"/>
    <w:rsid w:val="002D7AB9"/>
    <w:rsid w:val="002D7F50"/>
    <w:rsid w:val="002F06C9"/>
    <w:rsid w:val="002F309D"/>
    <w:rsid w:val="002F4FF3"/>
    <w:rsid w:val="002F6019"/>
    <w:rsid w:val="002F6C97"/>
    <w:rsid w:val="002F7D24"/>
    <w:rsid w:val="00302CA7"/>
    <w:rsid w:val="003126AC"/>
    <w:rsid w:val="00314127"/>
    <w:rsid w:val="00317638"/>
    <w:rsid w:val="00317726"/>
    <w:rsid w:val="003324D9"/>
    <w:rsid w:val="003375E6"/>
    <w:rsid w:val="003530F1"/>
    <w:rsid w:val="003532E6"/>
    <w:rsid w:val="003617DE"/>
    <w:rsid w:val="00362827"/>
    <w:rsid w:val="003630A7"/>
    <w:rsid w:val="00364452"/>
    <w:rsid w:val="003654A9"/>
    <w:rsid w:val="00367934"/>
    <w:rsid w:val="00370223"/>
    <w:rsid w:val="00381AF0"/>
    <w:rsid w:val="00390ECE"/>
    <w:rsid w:val="003914D9"/>
    <w:rsid w:val="00393312"/>
    <w:rsid w:val="003959AA"/>
    <w:rsid w:val="003A0202"/>
    <w:rsid w:val="003A15FD"/>
    <w:rsid w:val="003A2F02"/>
    <w:rsid w:val="003A42BE"/>
    <w:rsid w:val="003A4CEE"/>
    <w:rsid w:val="003B050F"/>
    <w:rsid w:val="003C0916"/>
    <w:rsid w:val="003D41C5"/>
    <w:rsid w:val="003D68C6"/>
    <w:rsid w:val="003E2071"/>
    <w:rsid w:val="003E2651"/>
    <w:rsid w:val="003E3149"/>
    <w:rsid w:val="003E391F"/>
    <w:rsid w:val="003E39BC"/>
    <w:rsid w:val="003E3D5E"/>
    <w:rsid w:val="003E6866"/>
    <w:rsid w:val="003F63E8"/>
    <w:rsid w:val="00400D64"/>
    <w:rsid w:val="00402844"/>
    <w:rsid w:val="004032EE"/>
    <w:rsid w:val="00411141"/>
    <w:rsid w:val="00412744"/>
    <w:rsid w:val="00415DE4"/>
    <w:rsid w:val="00416E96"/>
    <w:rsid w:val="004365D5"/>
    <w:rsid w:val="00443343"/>
    <w:rsid w:val="004543BA"/>
    <w:rsid w:val="0045460B"/>
    <w:rsid w:val="00455CC9"/>
    <w:rsid w:val="004565B1"/>
    <w:rsid w:val="00457E7C"/>
    <w:rsid w:val="004613B4"/>
    <w:rsid w:val="00464673"/>
    <w:rsid w:val="00475291"/>
    <w:rsid w:val="00476249"/>
    <w:rsid w:val="0047685F"/>
    <w:rsid w:val="0048766C"/>
    <w:rsid w:val="00494109"/>
    <w:rsid w:val="004A0875"/>
    <w:rsid w:val="004A1050"/>
    <w:rsid w:val="004A23AA"/>
    <w:rsid w:val="004A379B"/>
    <w:rsid w:val="004B5721"/>
    <w:rsid w:val="004C24B0"/>
    <w:rsid w:val="004C3085"/>
    <w:rsid w:val="004C4172"/>
    <w:rsid w:val="004D2121"/>
    <w:rsid w:val="004D4DA6"/>
    <w:rsid w:val="004E23CC"/>
    <w:rsid w:val="004E3689"/>
    <w:rsid w:val="004E4B16"/>
    <w:rsid w:val="004F0774"/>
    <w:rsid w:val="004F1A69"/>
    <w:rsid w:val="004F7BE0"/>
    <w:rsid w:val="00505AC7"/>
    <w:rsid w:val="005117B6"/>
    <w:rsid w:val="00511D84"/>
    <w:rsid w:val="005130B8"/>
    <w:rsid w:val="005202F9"/>
    <w:rsid w:val="00520B37"/>
    <w:rsid w:val="00522126"/>
    <w:rsid w:val="005279D4"/>
    <w:rsid w:val="005329FA"/>
    <w:rsid w:val="00532E34"/>
    <w:rsid w:val="00536928"/>
    <w:rsid w:val="00540030"/>
    <w:rsid w:val="005419DB"/>
    <w:rsid w:val="005461F1"/>
    <w:rsid w:val="00552BB9"/>
    <w:rsid w:val="005578FF"/>
    <w:rsid w:val="00562401"/>
    <w:rsid w:val="005715E3"/>
    <w:rsid w:val="00572EAA"/>
    <w:rsid w:val="00573288"/>
    <w:rsid w:val="00574D12"/>
    <w:rsid w:val="00580400"/>
    <w:rsid w:val="0058095F"/>
    <w:rsid w:val="005921A0"/>
    <w:rsid w:val="00593C4F"/>
    <w:rsid w:val="00596B0F"/>
    <w:rsid w:val="005A2464"/>
    <w:rsid w:val="005A4D18"/>
    <w:rsid w:val="005A5F85"/>
    <w:rsid w:val="005B0183"/>
    <w:rsid w:val="005B54E7"/>
    <w:rsid w:val="005C6C16"/>
    <w:rsid w:val="005D39B0"/>
    <w:rsid w:val="005D42CB"/>
    <w:rsid w:val="005D7266"/>
    <w:rsid w:val="005E0611"/>
    <w:rsid w:val="005E24BE"/>
    <w:rsid w:val="005E3624"/>
    <w:rsid w:val="005E7D6C"/>
    <w:rsid w:val="005F23F7"/>
    <w:rsid w:val="005F4762"/>
    <w:rsid w:val="00611127"/>
    <w:rsid w:val="00611828"/>
    <w:rsid w:val="006127B7"/>
    <w:rsid w:val="00633906"/>
    <w:rsid w:val="00634D9C"/>
    <w:rsid w:val="00634F14"/>
    <w:rsid w:val="00646F24"/>
    <w:rsid w:val="00653B28"/>
    <w:rsid w:val="00661008"/>
    <w:rsid w:val="00664488"/>
    <w:rsid w:val="00667E7A"/>
    <w:rsid w:val="00673D58"/>
    <w:rsid w:val="0067684C"/>
    <w:rsid w:val="006773D7"/>
    <w:rsid w:val="00677878"/>
    <w:rsid w:val="00681481"/>
    <w:rsid w:val="006822E4"/>
    <w:rsid w:val="00682A08"/>
    <w:rsid w:val="00691C98"/>
    <w:rsid w:val="006952E6"/>
    <w:rsid w:val="00696760"/>
    <w:rsid w:val="006A2156"/>
    <w:rsid w:val="006B074C"/>
    <w:rsid w:val="006C5911"/>
    <w:rsid w:val="006C69B4"/>
    <w:rsid w:val="006C734E"/>
    <w:rsid w:val="006D31D4"/>
    <w:rsid w:val="006E0BB9"/>
    <w:rsid w:val="006E2950"/>
    <w:rsid w:val="007133D4"/>
    <w:rsid w:val="00713F4F"/>
    <w:rsid w:val="0072089E"/>
    <w:rsid w:val="00725FBF"/>
    <w:rsid w:val="00730E44"/>
    <w:rsid w:val="0073374A"/>
    <w:rsid w:val="0074682C"/>
    <w:rsid w:val="00752AE1"/>
    <w:rsid w:val="00753856"/>
    <w:rsid w:val="0075455A"/>
    <w:rsid w:val="00757919"/>
    <w:rsid w:val="007608A6"/>
    <w:rsid w:val="0076163F"/>
    <w:rsid w:val="007619BE"/>
    <w:rsid w:val="00763E85"/>
    <w:rsid w:val="00764C51"/>
    <w:rsid w:val="007837C8"/>
    <w:rsid w:val="00786288"/>
    <w:rsid w:val="00796288"/>
    <w:rsid w:val="007A1E2C"/>
    <w:rsid w:val="007A351B"/>
    <w:rsid w:val="007B1523"/>
    <w:rsid w:val="007B1AD5"/>
    <w:rsid w:val="007B2EB0"/>
    <w:rsid w:val="007B3521"/>
    <w:rsid w:val="007C3807"/>
    <w:rsid w:val="007D67F2"/>
    <w:rsid w:val="007E5089"/>
    <w:rsid w:val="007E6666"/>
    <w:rsid w:val="007E73C6"/>
    <w:rsid w:val="007F7717"/>
    <w:rsid w:val="008015E6"/>
    <w:rsid w:val="00802A4F"/>
    <w:rsid w:val="008051FD"/>
    <w:rsid w:val="00806BE9"/>
    <w:rsid w:val="008073AF"/>
    <w:rsid w:val="008075C9"/>
    <w:rsid w:val="00813871"/>
    <w:rsid w:val="00813900"/>
    <w:rsid w:val="00815511"/>
    <w:rsid w:val="00823EAC"/>
    <w:rsid w:val="00825802"/>
    <w:rsid w:val="0082754E"/>
    <w:rsid w:val="0083018E"/>
    <w:rsid w:val="00833C79"/>
    <w:rsid w:val="00841699"/>
    <w:rsid w:val="0084367A"/>
    <w:rsid w:val="00852598"/>
    <w:rsid w:val="00853DC4"/>
    <w:rsid w:val="0085619F"/>
    <w:rsid w:val="0086049C"/>
    <w:rsid w:val="00872F44"/>
    <w:rsid w:val="008741E4"/>
    <w:rsid w:val="008742F7"/>
    <w:rsid w:val="00876A2B"/>
    <w:rsid w:val="00877E20"/>
    <w:rsid w:val="008805B9"/>
    <w:rsid w:val="008825B7"/>
    <w:rsid w:val="008826A0"/>
    <w:rsid w:val="00883DF4"/>
    <w:rsid w:val="00884940"/>
    <w:rsid w:val="008955D4"/>
    <w:rsid w:val="008A0CFD"/>
    <w:rsid w:val="008A39BD"/>
    <w:rsid w:val="008A5B6B"/>
    <w:rsid w:val="008A6FF3"/>
    <w:rsid w:val="008B4E8E"/>
    <w:rsid w:val="008C4145"/>
    <w:rsid w:val="008C5FD3"/>
    <w:rsid w:val="008D2611"/>
    <w:rsid w:val="008D4D6C"/>
    <w:rsid w:val="008D781C"/>
    <w:rsid w:val="008E0E48"/>
    <w:rsid w:val="008E3AA2"/>
    <w:rsid w:val="008E4462"/>
    <w:rsid w:val="008E4527"/>
    <w:rsid w:val="008F6247"/>
    <w:rsid w:val="008F7E2C"/>
    <w:rsid w:val="00900ADB"/>
    <w:rsid w:val="00900DC0"/>
    <w:rsid w:val="009011B0"/>
    <w:rsid w:val="00902353"/>
    <w:rsid w:val="00907862"/>
    <w:rsid w:val="00910620"/>
    <w:rsid w:val="00912A2C"/>
    <w:rsid w:val="00912DAE"/>
    <w:rsid w:val="0092093E"/>
    <w:rsid w:val="00924E57"/>
    <w:rsid w:val="009318B8"/>
    <w:rsid w:val="009372A5"/>
    <w:rsid w:val="00941712"/>
    <w:rsid w:val="00946DF6"/>
    <w:rsid w:val="00947213"/>
    <w:rsid w:val="0094778B"/>
    <w:rsid w:val="009507F3"/>
    <w:rsid w:val="00953D84"/>
    <w:rsid w:val="00960A4C"/>
    <w:rsid w:val="009617BC"/>
    <w:rsid w:val="00961AF3"/>
    <w:rsid w:val="00964CA8"/>
    <w:rsid w:val="0099216A"/>
    <w:rsid w:val="00992621"/>
    <w:rsid w:val="009948C7"/>
    <w:rsid w:val="009A01AF"/>
    <w:rsid w:val="009A5D99"/>
    <w:rsid w:val="009A79B4"/>
    <w:rsid w:val="009B16D5"/>
    <w:rsid w:val="009B2078"/>
    <w:rsid w:val="009B44A7"/>
    <w:rsid w:val="009B4FC8"/>
    <w:rsid w:val="009B5C8E"/>
    <w:rsid w:val="009C3D74"/>
    <w:rsid w:val="009C4576"/>
    <w:rsid w:val="009E1512"/>
    <w:rsid w:val="009E411C"/>
    <w:rsid w:val="009F530C"/>
    <w:rsid w:val="00A02167"/>
    <w:rsid w:val="00A1109E"/>
    <w:rsid w:val="00A129F9"/>
    <w:rsid w:val="00A1407B"/>
    <w:rsid w:val="00A20F21"/>
    <w:rsid w:val="00A25AE4"/>
    <w:rsid w:val="00A2727D"/>
    <w:rsid w:val="00A33535"/>
    <w:rsid w:val="00A46843"/>
    <w:rsid w:val="00A47A6A"/>
    <w:rsid w:val="00A5462C"/>
    <w:rsid w:val="00A5671D"/>
    <w:rsid w:val="00A57DB1"/>
    <w:rsid w:val="00A620DD"/>
    <w:rsid w:val="00A63C3A"/>
    <w:rsid w:val="00A802D0"/>
    <w:rsid w:val="00A84110"/>
    <w:rsid w:val="00A86689"/>
    <w:rsid w:val="00A90882"/>
    <w:rsid w:val="00A93BF4"/>
    <w:rsid w:val="00AB1A75"/>
    <w:rsid w:val="00AB36A2"/>
    <w:rsid w:val="00AB65AE"/>
    <w:rsid w:val="00AB65D9"/>
    <w:rsid w:val="00AC54D8"/>
    <w:rsid w:val="00AD0BE9"/>
    <w:rsid w:val="00AD1E05"/>
    <w:rsid w:val="00AD7332"/>
    <w:rsid w:val="00AE3B76"/>
    <w:rsid w:val="00AF2799"/>
    <w:rsid w:val="00AF4C3F"/>
    <w:rsid w:val="00AF5F88"/>
    <w:rsid w:val="00AF6983"/>
    <w:rsid w:val="00B14B53"/>
    <w:rsid w:val="00B14F42"/>
    <w:rsid w:val="00B15320"/>
    <w:rsid w:val="00B222D1"/>
    <w:rsid w:val="00B32A50"/>
    <w:rsid w:val="00B33E58"/>
    <w:rsid w:val="00B34524"/>
    <w:rsid w:val="00B368D9"/>
    <w:rsid w:val="00B36A27"/>
    <w:rsid w:val="00B37DB7"/>
    <w:rsid w:val="00B42822"/>
    <w:rsid w:val="00B6306F"/>
    <w:rsid w:val="00B775BD"/>
    <w:rsid w:val="00B8679F"/>
    <w:rsid w:val="00B93A7B"/>
    <w:rsid w:val="00B94EF4"/>
    <w:rsid w:val="00B9511A"/>
    <w:rsid w:val="00B96820"/>
    <w:rsid w:val="00BB048E"/>
    <w:rsid w:val="00BB0623"/>
    <w:rsid w:val="00BB1828"/>
    <w:rsid w:val="00BB6303"/>
    <w:rsid w:val="00BB7A32"/>
    <w:rsid w:val="00BC005C"/>
    <w:rsid w:val="00BC1DE3"/>
    <w:rsid w:val="00BC6575"/>
    <w:rsid w:val="00BC6F6F"/>
    <w:rsid w:val="00BE0F2B"/>
    <w:rsid w:val="00BF11B0"/>
    <w:rsid w:val="00BF6D76"/>
    <w:rsid w:val="00C04CEC"/>
    <w:rsid w:val="00C05923"/>
    <w:rsid w:val="00C06FA3"/>
    <w:rsid w:val="00C14370"/>
    <w:rsid w:val="00C15570"/>
    <w:rsid w:val="00C16D27"/>
    <w:rsid w:val="00C1798F"/>
    <w:rsid w:val="00C2141E"/>
    <w:rsid w:val="00C223C9"/>
    <w:rsid w:val="00C242E8"/>
    <w:rsid w:val="00C24CA8"/>
    <w:rsid w:val="00C25F41"/>
    <w:rsid w:val="00C26FA0"/>
    <w:rsid w:val="00C35119"/>
    <w:rsid w:val="00C3585B"/>
    <w:rsid w:val="00C4605C"/>
    <w:rsid w:val="00C63504"/>
    <w:rsid w:val="00C67650"/>
    <w:rsid w:val="00C73A3D"/>
    <w:rsid w:val="00C80761"/>
    <w:rsid w:val="00C80EC0"/>
    <w:rsid w:val="00C82585"/>
    <w:rsid w:val="00C86FC4"/>
    <w:rsid w:val="00C923F1"/>
    <w:rsid w:val="00C928C9"/>
    <w:rsid w:val="00C92D9B"/>
    <w:rsid w:val="00C93665"/>
    <w:rsid w:val="00C953B2"/>
    <w:rsid w:val="00CA2A7F"/>
    <w:rsid w:val="00CA4121"/>
    <w:rsid w:val="00CA59F8"/>
    <w:rsid w:val="00CA7D52"/>
    <w:rsid w:val="00CB26FE"/>
    <w:rsid w:val="00CB2D89"/>
    <w:rsid w:val="00CC2D33"/>
    <w:rsid w:val="00CC41D0"/>
    <w:rsid w:val="00CC7839"/>
    <w:rsid w:val="00CE5D79"/>
    <w:rsid w:val="00CE6D88"/>
    <w:rsid w:val="00CE7AF2"/>
    <w:rsid w:val="00CF22A4"/>
    <w:rsid w:val="00CF5B28"/>
    <w:rsid w:val="00CF6A37"/>
    <w:rsid w:val="00D031C0"/>
    <w:rsid w:val="00D05E12"/>
    <w:rsid w:val="00D10447"/>
    <w:rsid w:val="00D12DEF"/>
    <w:rsid w:val="00D13A2C"/>
    <w:rsid w:val="00D146AA"/>
    <w:rsid w:val="00D14A9E"/>
    <w:rsid w:val="00D15781"/>
    <w:rsid w:val="00D1638B"/>
    <w:rsid w:val="00D16B87"/>
    <w:rsid w:val="00D17FED"/>
    <w:rsid w:val="00D221F1"/>
    <w:rsid w:val="00D2530D"/>
    <w:rsid w:val="00D27304"/>
    <w:rsid w:val="00D35107"/>
    <w:rsid w:val="00D37AB5"/>
    <w:rsid w:val="00D40091"/>
    <w:rsid w:val="00D42B12"/>
    <w:rsid w:val="00D4463D"/>
    <w:rsid w:val="00D604E0"/>
    <w:rsid w:val="00D61A4F"/>
    <w:rsid w:val="00D652CF"/>
    <w:rsid w:val="00D67FF1"/>
    <w:rsid w:val="00D74E42"/>
    <w:rsid w:val="00D74E58"/>
    <w:rsid w:val="00D77E29"/>
    <w:rsid w:val="00D83861"/>
    <w:rsid w:val="00D83AAA"/>
    <w:rsid w:val="00D91585"/>
    <w:rsid w:val="00D962DD"/>
    <w:rsid w:val="00D978FF"/>
    <w:rsid w:val="00DA35C4"/>
    <w:rsid w:val="00DA41EB"/>
    <w:rsid w:val="00DA50AA"/>
    <w:rsid w:val="00DA5109"/>
    <w:rsid w:val="00DA65BC"/>
    <w:rsid w:val="00DB202F"/>
    <w:rsid w:val="00DB5808"/>
    <w:rsid w:val="00DB693B"/>
    <w:rsid w:val="00DC2E25"/>
    <w:rsid w:val="00DC5BBB"/>
    <w:rsid w:val="00DC6EC1"/>
    <w:rsid w:val="00DC7975"/>
    <w:rsid w:val="00DC7E74"/>
    <w:rsid w:val="00DD568D"/>
    <w:rsid w:val="00DD6554"/>
    <w:rsid w:val="00DD6EE9"/>
    <w:rsid w:val="00DD77D5"/>
    <w:rsid w:val="00DF1B25"/>
    <w:rsid w:val="00DF4A4B"/>
    <w:rsid w:val="00E04474"/>
    <w:rsid w:val="00E068D9"/>
    <w:rsid w:val="00E1062A"/>
    <w:rsid w:val="00E134BD"/>
    <w:rsid w:val="00E14BC0"/>
    <w:rsid w:val="00E1577D"/>
    <w:rsid w:val="00E2000D"/>
    <w:rsid w:val="00E22030"/>
    <w:rsid w:val="00E2456B"/>
    <w:rsid w:val="00E24879"/>
    <w:rsid w:val="00E265CE"/>
    <w:rsid w:val="00E26884"/>
    <w:rsid w:val="00E31703"/>
    <w:rsid w:val="00E34439"/>
    <w:rsid w:val="00E4008C"/>
    <w:rsid w:val="00E41C44"/>
    <w:rsid w:val="00E4305F"/>
    <w:rsid w:val="00E508BC"/>
    <w:rsid w:val="00E5381E"/>
    <w:rsid w:val="00E611E8"/>
    <w:rsid w:val="00E6141F"/>
    <w:rsid w:val="00E6337A"/>
    <w:rsid w:val="00E64F2B"/>
    <w:rsid w:val="00E64FEA"/>
    <w:rsid w:val="00E66FEB"/>
    <w:rsid w:val="00E720A2"/>
    <w:rsid w:val="00E86C77"/>
    <w:rsid w:val="00E86C82"/>
    <w:rsid w:val="00E94BB3"/>
    <w:rsid w:val="00E9609B"/>
    <w:rsid w:val="00EA09B5"/>
    <w:rsid w:val="00EA28B0"/>
    <w:rsid w:val="00EA5280"/>
    <w:rsid w:val="00EA69D3"/>
    <w:rsid w:val="00EA6B9D"/>
    <w:rsid w:val="00EB61EE"/>
    <w:rsid w:val="00EB669A"/>
    <w:rsid w:val="00EB7D18"/>
    <w:rsid w:val="00EC0AE9"/>
    <w:rsid w:val="00EC1D76"/>
    <w:rsid w:val="00EC6C6D"/>
    <w:rsid w:val="00EC6E75"/>
    <w:rsid w:val="00ED3B44"/>
    <w:rsid w:val="00ED6C0C"/>
    <w:rsid w:val="00EE0098"/>
    <w:rsid w:val="00EE0F73"/>
    <w:rsid w:val="00EF0B09"/>
    <w:rsid w:val="00EF192B"/>
    <w:rsid w:val="00F00348"/>
    <w:rsid w:val="00F038FB"/>
    <w:rsid w:val="00F06131"/>
    <w:rsid w:val="00F27A91"/>
    <w:rsid w:val="00F426F8"/>
    <w:rsid w:val="00F42AB6"/>
    <w:rsid w:val="00F458BF"/>
    <w:rsid w:val="00F5415E"/>
    <w:rsid w:val="00F57C09"/>
    <w:rsid w:val="00F60400"/>
    <w:rsid w:val="00F60FD9"/>
    <w:rsid w:val="00F83666"/>
    <w:rsid w:val="00F83C22"/>
    <w:rsid w:val="00F83EA0"/>
    <w:rsid w:val="00F86723"/>
    <w:rsid w:val="00F8679D"/>
    <w:rsid w:val="00F86923"/>
    <w:rsid w:val="00F90FF3"/>
    <w:rsid w:val="00F91952"/>
    <w:rsid w:val="00F92A0C"/>
    <w:rsid w:val="00F93B5D"/>
    <w:rsid w:val="00FA260C"/>
    <w:rsid w:val="00FA5227"/>
    <w:rsid w:val="00FA7884"/>
    <w:rsid w:val="00FB2DB2"/>
    <w:rsid w:val="00FB7B8A"/>
    <w:rsid w:val="00FC0345"/>
    <w:rsid w:val="00FC1F16"/>
    <w:rsid w:val="00FC3C30"/>
    <w:rsid w:val="00FD4998"/>
    <w:rsid w:val="00FD6771"/>
    <w:rsid w:val="00FD686B"/>
    <w:rsid w:val="00FD6B0D"/>
    <w:rsid w:val="00FD6DFC"/>
    <w:rsid w:val="00FE0AE8"/>
    <w:rsid w:val="00FE1430"/>
    <w:rsid w:val="00FF01B9"/>
    <w:rsid w:val="00FF2A3F"/>
    <w:rsid w:val="00FF2FCE"/>
    <w:rsid w:val="0CA904F7"/>
    <w:rsid w:val="3D2F6D16"/>
    <w:rsid w:val="44E0406E"/>
    <w:rsid w:val="44E80E8E"/>
    <w:rsid w:val="5941602A"/>
    <w:rsid w:val="757A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sz w:val="32"/>
      <w:szCs w:val="20"/>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c 7"/>
    <w:basedOn w:val="1"/>
    <w:next w:val="1"/>
    <w:semiHidden/>
    <w:qFormat/>
    <w:uiPriority w:val="0"/>
    <w:pPr>
      <w:ind w:left="2520" w:leftChars="1200"/>
    </w:pPr>
  </w:style>
  <w:style w:type="paragraph" w:styleId="5">
    <w:name w:val="Document Map"/>
    <w:basedOn w:val="1"/>
    <w:link w:val="44"/>
    <w:qFormat/>
    <w:uiPriority w:val="0"/>
    <w:rPr>
      <w:rFonts w:ascii="宋体"/>
      <w:sz w:val="18"/>
      <w:szCs w:val="18"/>
    </w:rPr>
  </w:style>
  <w:style w:type="paragraph" w:styleId="6">
    <w:name w:val="annotation text"/>
    <w:basedOn w:val="1"/>
    <w:link w:val="42"/>
    <w:qFormat/>
    <w:uiPriority w:val="0"/>
    <w:pPr>
      <w:jc w:val="left"/>
    </w:pPr>
  </w:style>
  <w:style w:type="paragraph" w:styleId="7">
    <w:name w:val="Body Text"/>
    <w:basedOn w:val="1"/>
    <w:qFormat/>
    <w:uiPriority w:val="0"/>
    <w:pPr>
      <w:spacing w:line="360" w:lineRule="auto"/>
    </w:pPr>
    <w:rPr>
      <w:rFonts w:ascii="仿宋_GB2312" w:eastAsia="仿宋_GB2312"/>
      <w:color w:val="000000"/>
      <w:kern w:val="0"/>
      <w:sz w:val="24"/>
      <w:szCs w:val="28"/>
    </w:rPr>
  </w:style>
  <w:style w:type="paragraph" w:styleId="8">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9">
    <w:name w:val="toc 5"/>
    <w:basedOn w:val="1"/>
    <w:next w:val="1"/>
    <w:semiHidden/>
    <w:qFormat/>
    <w:uiPriority w:val="0"/>
    <w:pPr>
      <w:ind w:left="1680" w:leftChars="800"/>
    </w:pPr>
  </w:style>
  <w:style w:type="paragraph" w:styleId="10">
    <w:name w:val="toc 3"/>
    <w:basedOn w:val="1"/>
    <w:next w:val="1"/>
    <w:semiHidden/>
    <w:qFormat/>
    <w:uiPriority w:val="0"/>
    <w:pPr>
      <w:ind w:left="840" w:leftChars="400"/>
    </w:pPr>
  </w:style>
  <w:style w:type="paragraph" w:styleId="11">
    <w:name w:val="toc 8"/>
    <w:basedOn w:val="1"/>
    <w:next w:val="1"/>
    <w:semiHidden/>
    <w:qFormat/>
    <w:uiPriority w:val="0"/>
    <w:pPr>
      <w:ind w:left="2940" w:leftChars="1400"/>
    </w:pPr>
  </w:style>
  <w:style w:type="paragraph" w:styleId="12">
    <w:name w:val="Date"/>
    <w:basedOn w:val="1"/>
    <w:next w:val="1"/>
    <w:link w:val="46"/>
    <w:qFormat/>
    <w:uiPriority w:val="0"/>
    <w:pPr>
      <w:ind w:left="100" w:leftChars="2500"/>
    </w:pPr>
  </w:style>
  <w:style w:type="paragraph" w:styleId="13">
    <w:name w:val="Body Text Indent 2"/>
    <w:basedOn w:val="1"/>
    <w:qFormat/>
    <w:uiPriority w:val="0"/>
    <w:pPr>
      <w:spacing w:line="360" w:lineRule="auto"/>
      <w:ind w:firstLine="525"/>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link w:val="4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semiHidden/>
    <w:qFormat/>
    <w:uiPriority w:val="0"/>
    <w:pPr>
      <w:ind w:left="420" w:leftChars="200"/>
    </w:pPr>
  </w:style>
  <w:style w:type="paragraph" w:styleId="22">
    <w:name w:val="toc 9"/>
    <w:basedOn w:val="1"/>
    <w:next w:val="1"/>
    <w:semiHidden/>
    <w:qFormat/>
    <w:uiPriority w:val="0"/>
    <w:pPr>
      <w:ind w:left="3360" w:leftChars="1600"/>
    </w:pPr>
  </w:style>
  <w:style w:type="paragraph" w:styleId="23">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5">
    <w:name w:val="Title"/>
    <w:basedOn w:val="1"/>
    <w:next w:val="1"/>
    <w:link w:val="48"/>
    <w:qFormat/>
    <w:uiPriority w:val="0"/>
    <w:pPr>
      <w:spacing w:before="240" w:after="60"/>
      <w:jc w:val="center"/>
      <w:outlineLvl w:val="0"/>
    </w:pPr>
    <w:rPr>
      <w:rFonts w:ascii="Cambria" w:hAnsi="Cambria"/>
      <w:b/>
      <w:bCs/>
      <w:sz w:val="32"/>
      <w:szCs w:val="32"/>
    </w:rPr>
  </w:style>
  <w:style w:type="paragraph" w:styleId="26">
    <w:name w:val="annotation subject"/>
    <w:basedOn w:val="6"/>
    <w:next w:val="6"/>
    <w:link w:val="43"/>
    <w:qFormat/>
    <w:uiPriority w:val="0"/>
    <w:rPr>
      <w:b/>
      <w:bCs/>
    </w:rPr>
  </w:style>
  <w:style w:type="character" w:styleId="29">
    <w:name w:val="Strong"/>
    <w:qFormat/>
    <w:uiPriority w:val="0"/>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8"/>
    <w:qFormat/>
    <w:uiPriority w:val="0"/>
  </w:style>
  <w:style w:type="character" w:customStyle="1" w:styleId="35">
    <w:name w:val="已访问的超链接1"/>
    <w:qFormat/>
    <w:uiPriority w:val="0"/>
    <w:rPr>
      <w:color w:val="800080"/>
      <w:u w:val="single"/>
    </w:rPr>
  </w:style>
  <w:style w:type="paragraph" w:customStyle="1" w:styleId="36">
    <w:name w:val="Char"/>
    <w:basedOn w:val="1"/>
    <w:qFormat/>
    <w:uiPriority w:val="0"/>
  </w:style>
  <w:style w:type="paragraph" w:customStyle="1" w:styleId="37">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8">
    <w:name w:val="Char Char Char"/>
    <w:basedOn w:val="1"/>
    <w:qFormat/>
    <w:uiPriority w:val="0"/>
  </w:style>
  <w:style w:type="paragraph" w:customStyle="1" w:styleId="39">
    <w:name w:val="Char Char Char Char Char Char Char1 Char Char Char Char Char Char"/>
    <w:basedOn w:val="1"/>
    <w:qFormat/>
    <w:uiPriority w:val="0"/>
  </w:style>
  <w:style w:type="paragraph" w:customStyle="1" w:styleId="40">
    <w:name w:val="Char Char"/>
    <w:basedOn w:val="1"/>
    <w:qFormat/>
    <w:uiPriority w:val="0"/>
    <w:rPr>
      <w:szCs w:val="20"/>
    </w:rPr>
  </w:style>
  <w:style w:type="character" w:customStyle="1" w:styleId="41">
    <w:name w:val="HTML 预设格式 字符"/>
    <w:link w:val="23"/>
    <w:qFormat/>
    <w:uiPriority w:val="99"/>
    <w:rPr>
      <w:rFonts w:ascii="宋体" w:hAnsi="宋体" w:cs="宋体"/>
      <w:sz w:val="24"/>
      <w:szCs w:val="24"/>
    </w:rPr>
  </w:style>
  <w:style w:type="character" w:customStyle="1" w:styleId="42">
    <w:name w:val="批注文字 字符"/>
    <w:link w:val="6"/>
    <w:qFormat/>
    <w:uiPriority w:val="0"/>
    <w:rPr>
      <w:kern w:val="2"/>
      <w:sz w:val="21"/>
      <w:szCs w:val="24"/>
    </w:rPr>
  </w:style>
  <w:style w:type="character" w:customStyle="1" w:styleId="43">
    <w:name w:val="批注主题 字符"/>
    <w:link w:val="26"/>
    <w:qFormat/>
    <w:uiPriority w:val="0"/>
    <w:rPr>
      <w:kern w:val="2"/>
      <w:sz w:val="21"/>
      <w:szCs w:val="24"/>
    </w:rPr>
  </w:style>
  <w:style w:type="character" w:customStyle="1" w:styleId="44">
    <w:name w:val="文档结构图 字符"/>
    <w:link w:val="5"/>
    <w:qFormat/>
    <w:uiPriority w:val="0"/>
    <w:rPr>
      <w:rFonts w:ascii="宋体"/>
      <w:kern w:val="2"/>
      <w:sz w:val="18"/>
      <w:szCs w:val="18"/>
    </w:rPr>
  </w:style>
  <w:style w:type="paragraph" w:customStyle="1" w:styleId="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日期 字符"/>
    <w:link w:val="12"/>
    <w:qFormat/>
    <w:uiPriority w:val="0"/>
    <w:rPr>
      <w:kern w:val="2"/>
      <w:sz w:val="21"/>
      <w:szCs w:val="24"/>
    </w:rPr>
  </w:style>
  <w:style w:type="character" w:customStyle="1" w:styleId="47">
    <w:name w:val="页脚 字符"/>
    <w:link w:val="15"/>
    <w:qFormat/>
    <w:uiPriority w:val="99"/>
    <w:rPr>
      <w:kern w:val="2"/>
      <w:sz w:val="18"/>
      <w:szCs w:val="18"/>
    </w:rPr>
  </w:style>
  <w:style w:type="character" w:customStyle="1" w:styleId="48">
    <w:name w:val="标题 字符"/>
    <w:link w:val="25"/>
    <w:qFormat/>
    <w:uiPriority w:val="0"/>
    <w:rPr>
      <w:rFonts w:ascii="Cambria" w:hAnsi="Cambria" w:cs="Times New Roman"/>
      <w:b/>
      <w:bCs/>
      <w:kern w:val="2"/>
      <w:sz w:val="32"/>
      <w:szCs w:val="32"/>
    </w:rPr>
  </w:style>
  <w:style w:type="paragraph" w:customStyle="1" w:styleId="4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0">
    <w:name w:val="fontstyle01"/>
    <w:qFormat/>
    <w:uiPriority w:val="0"/>
    <w:rPr>
      <w:rFonts w:hint="eastAsia" w:ascii="宋体" w:hAnsi="宋体" w:eastAsia="宋体" w:cs="宋体"/>
      <w:color w:val="000000"/>
      <w:sz w:val="26"/>
      <w:szCs w:val="26"/>
    </w:rPr>
  </w:style>
  <w:style w:type="paragraph" w:styleId="5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11675</Words>
  <Characters>11833</Characters>
  <Lines>217</Lines>
  <Paragraphs>61</Paragraphs>
  <TotalTime>3</TotalTime>
  <ScaleCrop>false</ScaleCrop>
  <LinksUpToDate>false</LinksUpToDate>
  <CharactersWithSpaces>11929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wanghui1</dc:creator>
  <cp:lastModifiedBy>孙畅</cp:lastModifiedBy>
  <cp:revision>7</cp:revision>
  <cp:lastPrinted>2023-06-15T07:06:00Z</cp:lastPrinted>
  <dcterms:created xsi:type="dcterms:W3CDTF">2023-05-11T05:47:00Z</dcterms:created>
  <dcterms:modified xsi:type="dcterms:W3CDTF">2025-02-05T03:01:41Z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eyJoZGlkIjoiYjQ5NmNlYTM2NDBhYTM2YTdlYzA0Y2E5ZDkxMTg4MDUiLCJ1c2VySWQiOiI0OTA5OTM5NzAifQ==</vt:lpwstr>
  </property>
  <property fmtid="{D5CDD505-2E9C-101B-9397-08002B2CF9AE}" pid="4" name="ICV">
    <vt:lpwstr>B4EBA69ED572400CAFDDB4A5E15F88FF_12</vt:lpwstr>
  </property>
</Properties>
</file>