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7B94" w:rsidRDefault="004B7B94">
      <w:pPr>
        <w:spacing w:after="0" w:line="360" w:lineRule="auto"/>
        <w:ind w:firstLineChars="200" w:firstLine="964"/>
        <w:rPr>
          <w:rFonts w:ascii="宋体" w:hAnsi="宋体"/>
          <w:b/>
          <w:bCs/>
          <w:color w:val="000000"/>
          <w:sz w:val="48"/>
          <w:szCs w:val="48"/>
        </w:rPr>
      </w:pPr>
      <w:bookmarkStart w:id="0" w:name="_GoBack"/>
      <w:bookmarkEnd w:id="0"/>
    </w:p>
    <w:p w:rsidR="004B7B94" w:rsidRDefault="004B7B94">
      <w:pPr>
        <w:spacing w:after="0" w:line="360" w:lineRule="auto"/>
        <w:ind w:firstLineChars="200" w:firstLine="964"/>
        <w:rPr>
          <w:rFonts w:ascii="宋体" w:hAnsi="宋体"/>
          <w:b/>
          <w:bCs/>
          <w:color w:val="000000"/>
          <w:sz w:val="48"/>
          <w:szCs w:val="48"/>
        </w:rPr>
      </w:pPr>
    </w:p>
    <w:p w:rsidR="004B7B94" w:rsidRDefault="004B7B94">
      <w:pPr>
        <w:spacing w:after="0" w:line="360" w:lineRule="auto"/>
        <w:ind w:firstLineChars="200" w:firstLine="964"/>
        <w:rPr>
          <w:rFonts w:ascii="宋体" w:hAnsi="宋体"/>
          <w:b/>
          <w:bCs/>
          <w:color w:val="000000"/>
          <w:sz w:val="48"/>
          <w:szCs w:val="48"/>
        </w:rPr>
      </w:pPr>
    </w:p>
    <w:p w:rsidR="004B7B94" w:rsidRDefault="004B7B94">
      <w:pPr>
        <w:spacing w:after="0" w:line="360" w:lineRule="auto"/>
        <w:ind w:firstLineChars="200" w:firstLine="964"/>
        <w:rPr>
          <w:rFonts w:ascii="宋体" w:hAnsi="宋体"/>
          <w:b/>
          <w:bCs/>
          <w:color w:val="000000"/>
          <w:sz w:val="48"/>
          <w:szCs w:val="48"/>
        </w:rPr>
      </w:pPr>
    </w:p>
    <w:p w:rsidR="004B7B94" w:rsidRDefault="004B7B94">
      <w:pPr>
        <w:spacing w:after="0" w:line="360" w:lineRule="auto"/>
        <w:ind w:firstLineChars="200" w:firstLine="964"/>
        <w:rPr>
          <w:rFonts w:ascii="宋体" w:hAnsi="宋体"/>
          <w:b/>
          <w:bCs/>
          <w:color w:val="000000"/>
          <w:sz w:val="48"/>
          <w:szCs w:val="48"/>
        </w:rPr>
      </w:pPr>
    </w:p>
    <w:p w:rsidR="004B7B94" w:rsidRDefault="00E10EAD">
      <w:pPr>
        <w:spacing w:after="0" w:line="360" w:lineRule="auto"/>
        <w:ind w:firstLineChars="200" w:firstLine="723"/>
        <w:jc w:val="center"/>
        <w:rPr>
          <w:rFonts w:ascii="宋体" w:hAnsi="宋体"/>
          <w:b/>
          <w:bCs/>
          <w:color w:val="000000"/>
          <w:sz w:val="36"/>
          <w:szCs w:val="36"/>
        </w:rPr>
      </w:pPr>
      <w:proofErr w:type="gramStart"/>
      <w:r>
        <w:rPr>
          <w:rFonts w:ascii="宋体" w:hAnsi="宋体" w:hint="eastAsia"/>
          <w:b/>
          <w:bCs/>
          <w:color w:val="000000"/>
          <w:sz w:val="36"/>
          <w:szCs w:val="36"/>
        </w:rPr>
        <w:t>华商元</w:t>
      </w:r>
      <w:proofErr w:type="gramEnd"/>
      <w:r>
        <w:rPr>
          <w:rFonts w:ascii="宋体" w:hAnsi="宋体" w:hint="eastAsia"/>
          <w:b/>
          <w:bCs/>
          <w:color w:val="000000"/>
          <w:sz w:val="36"/>
          <w:szCs w:val="36"/>
        </w:rPr>
        <w:t>亨灵活配置混合型证券投资基金</w:t>
      </w:r>
    </w:p>
    <w:p w:rsidR="004B7B94" w:rsidRDefault="004B7B94">
      <w:pPr>
        <w:spacing w:after="0" w:line="360" w:lineRule="auto"/>
        <w:ind w:firstLineChars="200" w:firstLine="723"/>
        <w:jc w:val="center"/>
        <w:rPr>
          <w:rFonts w:ascii="宋体" w:hAnsi="宋体"/>
          <w:b/>
          <w:bCs/>
          <w:color w:val="000000"/>
          <w:sz w:val="36"/>
          <w:szCs w:val="36"/>
        </w:rPr>
      </w:pPr>
    </w:p>
    <w:p w:rsidR="004B7B94" w:rsidRDefault="00E10EAD">
      <w:pPr>
        <w:spacing w:after="0" w:line="360" w:lineRule="auto"/>
        <w:ind w:firstLineChars="200" w:firstLine="723"/>
        <w:jc w:val="center"/>
        <w:rPr>
          <w:rFonts w:ascii="宋体" w:hAnsi="宋体"/>
          <w:b/>
          <w:bCs/>
          <w:color w:val="000000"/>
          <w:sz w:val="36"/>
          <w:szCs w:val="36"/>
        </w:rPr>
      </w:pPr>
      <w:r>
        <w:rPr>
          <w:rFonts w:ascii="宋体" w:hAnsi="宋体" w:hint="eastAsia"/>
          <w:b/>
          <w:bCs/>
          <w:color w:val="000000"/>
          <w:sz w:val="36"/>
          <w:szCs w:val="36"/>
        </w:rPr>
        <w:t>托管协议（更新）</w:t>
      </w:r>
    </w:p>
    <w:p w:rsidR="004B7B94" w:rsidRDefault="004B7B94">
      <w:pPr>
        <w:spacing w:after="0" w:line="360" w:lineRule="auto"/>
        <w:ind w:firstLineChars="200" w:firstLine="880"/>
        <w:jc w:val="center"/>
        <w:rPr>
          <w:rFonts w:ascii="宋体" w:hAnsi="宋体"/>
          <w:bCs/>
          <w:color w:val="000000"/>
          <w:sz w:val="44"/>
          <w:szCs w:val="44"/>
        </w:rPr>
      </w:pPr>
    </w:p>
    <w:p w:rsidR="004B7B94" w:rsidRDefault="004B7B94">
      <w:pPr>
        <w:autoSpaceDE w:val="0"/>
        <w:autoSpaceDN w:val="0"/>
        <w:spacing w:after="0" w:line="360" w:lineRule="auto"/>
        <w:ind w:firstLineChars="200" w:firstLine="883"/>
        <w:textAlignment w:val="bottom"/>
        <w:rPr>
          <w:rFonts w:ascii="宋体" w:hAnsi="宋体"/>
          <w:b/>
          <w:bCs/>
          <w:color w:val="000000"/>
          <w:sz w:val="44"/>
        </w:rPr>
      </w:pPr>
    </w:p>
    <w:p w:rsidR="004B7B94" w:rsidRDefault="004B7B94">
      <w:pPr>
        <w:spacing w:after="0" w:line="360" w:lineRule="auto"/>
        <w:ind w:firstLineChars="200" w:firstLine="602"/>
        <w:rPr>
          <w:rFonts w:ascii="宋体" w:hAnsi="宋体"/>
          <w:b/>
          <w:color w:val="000000"/>
          <w:sz w:val="30"/>
          <w:szCs w:val="30"/>
        </w:rPr>
      </w:pPr>
    </w:p>
    <w:p w:rsidR="004B7B94" w:rsidRDefault="004B7B94">
      <w:pPr>
        <w:spacing w:after="0" w:line="360" w:lineRule="auto"/>
        <w:ind w:firstLineChars="200" w:firstLine="602"/>
        <w:rPr>
          <w:rFonts w:ascii="宋体" w:hAnsi="宋体"/>
          <w:b/>
          <w:color w:val="000000"/>
          <w:sz w:val="30"/>
          <w:szCs w:val="30"/>
        </w:rPr>
      </w:pPr>
    </w:p>
    <w:p w:rsidR="004B7B94" w:rsidRDefault="004B7B94">
      <w:pPr>
        <w:spacing w:after="0" w:line="360" w:lineRule="auto"/>
        <w:ind w:firstLineChars="200" w:firstLine="602"/>
        <w:rPr>
          <w:rFonts w:ascii="宋体" w:hAnsi="宋体"/>
          <w:b/>
          <w:color w:val="000000"/>
          <w:sz w:val="30"/>
          <w:szCs w:val="30"/>
        </w:rPr>
      </w:pPr>
    </w:p>
    <w:p w:rsidR="004B7B94" w:rsidRDefault="004B7B94">
      <w:pPr>
        <w:spacing w:after="0" w:line="360" w:lineRule="auto"/>
        <w:ind w:firstLineChars="200" w:firstLine="602"/>
        <w:rPr>
          <w:rFonts w:ascii="宋体" w:hAnsi="宋体"/>
          <w:b/>
          <w:color w:val="000000"/>
          <w:sz w:val="30"/>
          <w:szCs w:val="30"/>
        </w:rPr>
      </w:pPr>
    </w:p>
    <w:p w:rsidR="004B7B94" w:rsidRDefault="004B7B94">
      <w:pPr>
        <w:spacing w:after="0" w:line="360" w:lineRule="auto"/>
        <w:ind w:firstLineChars="200" w:firstLine="602"/>
        <w:rPr>
          <w:rFonts w:ascii="宋体" w:hAnsi="宋体"/>
          <w:b/>
          <w:color w:val="000000"/>
          <w:sz w:val="30"/>
          <w:szCs w:val="30"/>
        </w:rPr>
      </w:pPr>
    </w:p>
    <w:p w:rsidR="004B7B94" w:rsidRDefault="004B7B94">
      <w:pPr>
        <w:spacing w:after="0" w:line="360" w:lineRule="auto"/>
        <w:ind w:firstLineChars="200" w:firstLine="602"/>
        <w:rPr>
          <w:rFonts w:ascii="宋体" w:hAnsi="宋体"/>
          <w:b/>
          <w:color w:val="000000"/>
          <w:sz w:val="30"/>
          <w:szCs w:val="30"/>
        </w:rPr>
      </w:pPr>
    </w:p>
    <w:p w:rsidR="004B7B94" w:rsidRDefault="004B7B94">
      <w:pPr>
        <w:spacing w:after="0" w:line="360" w:lineRule="auto"/>
        <w:ind w:firstLineChars="200" w:firstLine="602"/>
        <w:rPr>
          <w:rFonts w:ascii="宋体" w:hAnsi="宋体"/>
          <w:b/>
          <w:color w:val="000000"/>
          <w:sz w:val="30"/>
          <w:szCs w:val="30"/>
        </w:rPr>
      </w:pPr>
    </w:p>
    <w:p w:rsidR="004B7B94" w:rsidRDefault="00E10EAD">
      <w:pPr>
        <w:spacing w:after="0" w:line="360" w:lineRule="auto"/>
        <w:ind w:firstLineChars="200" w:firstLine="723"/>
        <w:rPr>
          <w:rFonts w:ascii="宋体" w:hAnsi="宋体"/>
          <w:b/>
          <w:bCs/>
          <w:color w:val="000000"/>
          <w:sz w:val="36"/>
          <w:szCs w:val="36"/>
        </w:rPr>
      </w:pPr>
      <w:r>
        <w:rPr>
          <w:rFonts w:ascii="宋体" w:hAnsi="宋体" w:hint="eastAsia"/>
          <w:b/>
          <w:bCs/>
          <w:color w:val="000000"/>
          <w:sz w:val="36"/>
          <w:szCs w:val="36"/>
        </w:rPr>
        <w:t>基金管理人：华商基金管理有限公司</w:t>
      </w:r>
    </w:p>
    <w:p w:rsidR="004B7B94" w:rsidRDefault="00E10EAD">
      <w:pPr>
        <w:spacing w:after="0" w:line="360" w:lineRule="auto"/>
        <w:ind w:firstLineChars="200" w:firstLine="723"/>
        <w:rPr>
          <w:rFonts w:ascii="宋体" w:hAnsi="宋体"/>
          <w:color w:val="000000"/>
        </w:rPr>
      </w:pPr>
      <w:r>
        <w:rPr>
          <w:rFonts w:ascii="宋体" w:hAnsi="宋体" w:hint="eastAsia"/>
          <w:b/>
          <w:bCs/>
          <w:color w:val="000000"/>
          <w:sz w:val="36"/>
          <w:szCs w:val="36"/>
        </w:rPr>
        <w:t>基金托管人：</w:t>
      </w:r>
      <w:proofErr w:type="gramStart"/>
      <w:r>
        <w:rPr>
          <w:rFonts w:ascii="宋体" w:hAnsi="宋体" w:hint="eastAsia"/>
          <w:b/>
          <w:bCs/>
          <w:color w:val="000000"/>
          <w:sz w:val="36"/>
          <w:szCs w:val="36"/>
        </w:rPr>
        <w:t>国泰</w:t>
      </w:r>
      <w:r>
        <w:rPr>
          <w:rFonts w:ascii="宋体" w:hAnsi="宋体" w:hint="eastAsia"/>
          <w:b/>
          <w:bCs/>
          <w:color w:val="000000"/>
          <w:sz w:val="36"/>
          <w:szCs w:val="36"/>
        </w:rPr>
        <w:t>海通</w:t>
      </w:r>
      <w:proofErr w:type="gramEnd"/>
      <w:r>
        <w:rPr>
          <w:rFonts w:ascii="宋体" w:hAnsi="宋体" w:hint="eastAsia"/>
          <w:b/>
          <w:bCs/>
          <w:color w:val="000000"/>
          <w:sz w:val="36"/>
          <w:szCs w:val="36"/>
        </w:rPr>
        <w:t>证券股份有限公司</w:t>
      </w:r>
    </w:p>
    <w:p w:rsidR="004B7B94" w:rsidRDefault="004B7B94">
      <w:pPr>
        <w:spacing w:after="0" w:line="360" w:lineRule="auto"/>
        <w:ind w:firstLineChars="200" w:firstLine="420"/>
        <w:rPr>
          <w:color w:val="000000"/>
        </w:rPr>
        <w:sectPr w:rsidR="004B7B94">
          <w:headerReference w:type="default" r:id="rId8"/>
          <w:footerReference w:type="even" r:id="rId9"/>
          <w:headerReference w:type="first" r:id="rId10"/>
          <w:footerReference w:type="first" r:id="rId11"/>
          <w:pgSz w:w="11906" w:h="16838"/>
          <w:pgMar w:top="1440" w:right="1800" w:bottom="1440" w:left="1800" w:header="851" w:footer="992" w:gutter="0"/>
          <w:pgNumType w:start="1"/>
          <w:cols w:space="425"/>
          <w:docGrid w:type="lines" w:linePitch="312"/>
        </w:sectPr>
      </w:pPr>
    </w:p>
    <w:p w:rsidR="004B7B94" w:rsidRDefault="00E10EAD">
      <w:pPr>
        <w:spacing w:line="360" w:lineRule="auto"/>
        <w:ind w:firstLineChars="200" w:firstLine="883"/>
        <w:jc w:val="center"/>
        <w:rPr>
          <w:rFonts w:ascii="宋体" w:hAnsi="宋体"/>
          <w:b/>
          <w:color w:val="000000"/>
          <w:sz w:val="44"/>
          <w:szCs w:val="44"/>
        </w:rPr>
      </w:pPr>
      <w:r>
        <w:rPr>
          <w:rFonts w:ascii="宋体" w:hAnsi="宋体" w:hint="eastAsia"/>
          <w:b/>
          <w:color w:val="000000"/>
          <w:sz w:val="44"/>
          <w:szCs w:val="44"/>
        </w:rPr>
        <w:lastRenderedPageBreak/>
        <w:t>目</w:t>
      </w:r>
      <w:r>
        <w:rPr>
          <w:rFonts w:ascii="宋体" w:hAnsi="宋体" w:hint="eastAsia"/>
          <w:b/>
          <w:color w:val="000000"/>
          <w:sz w:val="44"/>
          <w:szCs w:val="44"/>
        </w:rPr>
        <w:t xml:space="preserve">  </w:t>
      </w:r>
      <w:r>
        <w:rPr>
          <w:rFonts w:ascii="宋体" w:hAnsi="宋体" w:hint="eastAsia"/>
          <w:b/>
          <w:color w:val="000000"/>
          <w:sz w:val="44"/>
          <w:szCs w:val="44"/>
        </w:rPr>
        <w:t>录</w:t>
      </w:r>
    </w:p>
    <w:p w:rsidR="004B7B94" w:rsidRDefault="00E10EAD">
      <w:pPr>
        <w:pStyle w:val="10"/>
        <w:tabs>
          <w:tab w:val="clear" w:pos="8455"/>
          <w:tab w:val="right" w:leader="dot" w:pos="8312"/>
        </w:tabs>
        <w:adjustRightInd w:val="0"/>
        <w:snapToGrid w:val="0"/>
      </w:pPr>
      <w:r>
        <w:rPr>
          <w:rStyle w:val="ac"/>
          <w:color w:val="000000"/>
          <w:sz w:val="24"/>
        </w:rPr>
        <w:fldChar w:fldCharType="begin"/>
      </w:r>
      <w:r>
        <w:rPr>
          <w:rStyle w:val="ac"/>
          <w:rFonts w:ascii="宋体" w:hAnsi="宋体"/>
          <w:bCs/>
          <w:color w:val="000000"/>
          <w:sz w:val="24"/>
          <w:szCs w:val="24"/>
        </w:rPr>
        <w:instrText xml:space="preserve"> TOC \h \z \t </w:instrText>
      </w:r>
      <w:r>
        <w:rPr>
          <w:rStyle w:val="ac"/>
          <w:rFonts w:ascii="宋体" w:hAnsi="宋体"/>
          <w:bCs/>
          <w:color w:val="000000"/>
          <w:sz w:val="24"/>
          <w:szCs w:val="24"/>
        </w:rPr>
        <w:instrText>"</w:instrText>
      </w:r>
      <w:r>
        <w:rPr>
          <w:rStyle w:val="ac"/>
          <w:rFonts w:ascii="宋体" w:hAnsi="宋体"/>
          <w:bCs/>
          <w:color w:val="000000"/>
          <w:sz w:val="24"/>
          <w:szCs w:val="24"/>
        </w:rPr>
        <w:instrText>标题</w:instrText>
      </w:r>
      <w:r>
        <w:rPr>
          <w:rStyle w:val="ac"/>
          <w:rFonts w:ascii="宋体" w:hAnsi="宋体"/>
          <w:bCs/>
          <w:color w:val="000000"/>
          <w:sz w:val="24"/>
          <w:szCs w:val="24"/>
        </w:rPr>
        <w:instrText xml:space="preserve"> 1,1" </w:instrText>
      </w:r>
      <w:r>
        <w:rPr>
          <w:rStyle w:val="ac"/>
          <w:color w:val="000000"/>
          <w:sz w:val="24"/>
        </w:rPr>
        <w:fldChar w:fldCharType="separate"/>
      </w:r>
      <w:hyperlink w:anchor="_Toc32650" w:history="1">
        <w:r>
          <w:rPr>
            <w:rFonts w:hint="eastAsia"/>
          </w:rPr>
          <w:t>一、基金托管协议当事人</w:t>
        </w:r>
        <w:r>
          <w:tab/>
        </w:r>
        <w:r>
          <w:fldChar w:fldCharType="begin"/>
        </w:r>
        <w:r>
          <w:instrText xml:space="preserve"> PAGEREF _Toc32650 \h </w:instrText>
        </w:r>
        <w:r>
          <w:fldChar w:fldCharType="separate"/>
        </w:r>
        <w:r>
          <w:t>2</w:t>
        </w:r>
        <w:r>
          <w:fldChar w:fldCharType="end"/>
        </w:r>
      </w:hyperlink>
    </w:p>
    <w:p w:rsidR="004B7B94" w:rsidRDefault="00E10EAD">
      <w:pPr>
        <w:pStyle w:val="10"/>
        <w:tabs>
          <w:tab w:val="clear" w:pos="8455"/>
          <w:tab w:val="right" w:leader="dot" w:pos="8312"/>
        </w:tabs>
        <w:adjustRightInd w:val="0"/>
        <w:snapToGrid w:val="0"/>
      </w:pPr>
      <w:hyperlink w:anchor="_Toc30968" w:history="1">
        <w:r>
          <w:rPr>
            <w:rFonts w:hint="eastAsia"/>
          </w:rPr>
          <w:t>二、基金托管协议的依据、目的和原则</w:t>
        </w:r>
        <w:r>
          <w:tab/>
        </w:r>
        <w:r>
          <w:fldChar w:fldCharType="begin"/>
        </w:r>
        <w:r>
          <w:instrText xml:space="preserve"> PAGEREF _Toc30968 \h </w:instrText>
        </w:r>
        <w:r>
          <w:fldChar w:fldCharType="separate"/>
        </w:r>
        <w:r>
          <w:t>3</w:t>
        </w:r>
        <w:r>
          <w:fldChar w:fldCharType="end"/>
        </w:r>
      </w:hyperlink>
    </w:p>
    <w:p w:rsidR="004B7B94" w:rsidRDefault="00E10EAD">
      <w:pPr>
        <w:pStyle w:val="10"/>
        <w:tabs>
          <w:tab w:val="clear" w:pos="8455"/>
          <w:tab w:val="right" w:leader="dot" w:pos="8312"/>
        </w:tabs>
        <w:adjustRightInd w:val="0"/>
        <w:snapToGrid w:val="0"/>
      </w:pPr>
      <w:hyperlink w:anchor="_Toc26847" w:history="1">
        <w:r>
          <w:rPr>
            <w:rFonts w:hint="eastAsia"/>
          </w:rPr>
          <w:t>三、基金托管人对基金管理人的业务监督和核查</w:t>
        </w:r>
        <w:r>
          <w:tab/>
        </w:r>
        <w:r>
          <w:fldChar w:fldCharType="begin"/>
        </w:r>
        <w:r>
          <w:instrText xml:space="preserve"> PAGEREF _Toc26847 \h </w:instrText>
        </w:r>
        <w:r>
          <w:fldChar w:fldCharType="separate"/>
        </w:r>
        <w:r>
          <w:t>4</w:t>
        </w:r>
        <w:r>
          <w:fldChar w:fldCharType="end"/>
        </w:r>
      </w:hyperlink>
    </w:p>
    <w:p w:rsidR="004B7B94" w:rsidRDefault="00E10EAD">
      <w:pPr>
        <w:pStyle w:val="10"/>
        <w:tabs>
          <w:tab w:val="clear" w:pos="8455"/>
          <w:tab w:val="right" w:leader="dot" w:pos="8312"/>
        </w:tabs>
        <w:adjustRightInd w:val="0"/>
        <w:snapToGrid w:val="0"/>
      </w:pPr>
      <w:hyperlink w:anchor="_Toc197" w:history="1">
        <w:r>
          <w:rPr>
            <w:rFonts w:hint="eastAsia"/>
          </w:rPr>
          <w:t>四、基金管理人对基金托管人的业务核查</w:t>
        </w:r>
        <w:r>
          <w:tab/>
        </w:r>
        <w:r>
          <w:fldChar w:fldCharType="begin"/>
        </w:r>
        <w:r>
          <w:instrText xml:space="preserve"> PAGEREF _Toc197 \h </w:instrText>
        </w:r>
        <w:r>
          <w:fldChar w:fldCharType="separate"/>
        </w:r>
        <w:r>
          <w:t>14</w:t>
        </w:r>
        <w:r>
          <w:fldChar w:fldCharType="end"/>
        </w:r>
      </w:hyperlink>
    </w:p>
    <w:p w:rsidR="004B7B94" w:rsidRDefault="00E10EAD">
      <w:pPr>
        <w:pStyle w:val="10"/>
        <w:tabs>
          <w:tab w:val="clear" w:pos="8455"/>
          <w:tab w:val="right" w:leader="dot" w:pos="8312"/>
        </w:tabs>
        <w:adjustRightInd w:val="0"/>
        <w:snapToGrid w:val="0"/>
      </w:pPr>
      <w:hyperlink w:anchor="_Toc19889" w:history="1">
        <w:r>
          <w:rPr>
            <w:rFonts w:hint="eastAsia"/>
          </w:rPr>
          <w:t>五、基金财产的保管</w:t>
        </w:r>
        <w:r>
          <w:tab/>
        </w:r>
        <w:r>
          <w:fldChar w:fldCharType="begin"/>
        </w:r>
        <w:r>
          <w:instrText xml:space="preserve"> PAGEREF _Toc19889 \h </w:instrText>
        </w:r>
        <w:r>
          <w:fldChar w:fldCharType="separate"/>
        </w:r>
        <w:r>
          <w:t>15</w:t>
        </w:r>
        <w:r>
          <w:fldChar w:fldCharType="end"/>
        </w:r>
      </w:hyperlink>
    </w:p>
    <w:p w:rsidR="004B7B94" w:rsidRDefault="00E10EAD">
      <w:pPr>
        <w:pStyle w:val="10"/>
        <w:tabs>
          <w:tab w:val="clear" w:pos="8455"/>
          <w:tab w:val="right" w:leader="dot" w:pos="8312"/>
        </w:tabs>
        <w:adjustRightInd w:val="0"/>
        <w:snapToGrid w:val="0"/>
      </w:pPr>
      <w:hyperlink w:anchor="_Toc1738" w:history="1">
        <w:r>
          <w:rPr>
            <w:rFonts w:hint="eastAsia"/>
          </w:rPr>
          <w:t>六、指令的发送、确认和执行</w:t>
        </w:r>
        <w:r>
          <w:tab/>
        </w:r>
        <w:r>
          <w:fldChar w:fldCharType="begin"/>
        </w:r>
        <w:r>
          <w:instrText xml:space="preserve"> PAGEREF _Toc1738 \h </w:instrText>
        </w:r>
        <w:r>
          <w:fldChar w:fldCharType="separate"/>
        </w:r>
        <w:r>
          <w:t>19</w:t>
        </w:r>
        <w:r>
          <w:fldChar w:fldCharType="end"/>
        </w:r>
      </w:hyperlink>
    </w:p>
    <w:p w:rsidR="004B7B94" w:rsidRDefault="00E10EAD">
      <w:pPr>
        <w:pStyle w:val="10"/>
        <w:tabs>
          <w:tab w:val="clear" w:pos="8455"/>
          <w:tab w:val="right" w:leader="dot" w:pos="8312"/>
        </w:tabs>
        <w:adjustRightInd w:val="0"/>
        <w:snapToGrid w:val="0"/>
      </w:pPr>
      <w:hyperlink w:anchor="_Toc17363" w:history="1">
        <w:r>
          <w:rPr>
            <w:rFonts w:hint="eastAsia"/>
          </w:rPr>
          <w:t>七、交易及清算交收安排</w:t>
        </w:r>
        <w:r>
          <w:tab/>
        </w:r>
        <w:r>
          <w:fldChar w:fldCharType="begin"/>
        </w:r>
        <w:r>
          <w:instrText xml:space="preserve"> PAGEREF _Toc17363 \h </w:instrText>
        </w:r>
        <w:r>
          <w:fldChar w:fldCharType="separate"/>
        </w:r>
        <w:r>
          <w:t>23</w:t>
        </w:r>
        <w:r>
          <w:fldChar w:fldCharType="end"/>
        </w:r>
      </w:hyperlink>
    </w:p>
    <w:p w:rsidR="004B7B94" w:rsidRDefault="00E10EAD">
      <w:pPr>
        <w:pStyle w:val="10"/>
        <w:tabs>
          <w:tab w:val="clear" w:pos="8455"/>
          <w:tab w:val="right" w:leader="dot" w:pos="8312"/>
        </w:tabs>
        <w:adjustRightInd w:val="0"/>
        <w:snapToGrid w:val="0"/>
      </w:pPr>
      <w:hyperlink w:anchor="_Toc24547" w:history="1">
        <w:r>
          <w:rPr>
            <w:rFonts w:hint="eastAsia"/>
          </w:rPr>
          <w:t>八、基金资产净值计算和会计核算</w:t>
        </w:r>
        <w:r>
          <w:tab/>
        </w:r>
        <w:r>
          <w:fldChar w:fldCharType="begin"/>
        </w:r>
        <w:r>
          <w:instrText xml:space="preserve"> PAGEREF _Toc24547 \h </w:instrText>
        </w:r>
        <w:r>
          <w:fldChar w:fldCharType="separate"/>
        </w:r>
        <w:r>
          <w:t>26</w:t>
        </w:r>
        <w:r>
          <w:fldChar w:fldCharType="end"/>
        </w:r>
      </w:hyperlink>
    </w:p>
    <w:p w:rsidR="004B7B94" w:rsidRDefault="00E10EAD">
      <w:pPr>
        <w:pStyle w:val="10"/>
        <w:tabs>
          <w:tab w:val="clear" w:pos="8455"/>
          <w:tab w:val="right" w:leader="dot" w:pos="8312"/>
        </w:tabs>
        <w:adjustRightInd w:val="0"/>
        <w:snapToGrid w:val="0"/>
      </w:pPr>
      <w:hyperlink w:anchor="_Toc13150" w:history="1">
        <w:r>
          <w:rPr>
            <w:rFonts w:hint="eastAsia"/>
          </w:rPr>
          <w:t>九、基金收益分配</w:t>
        </w:r>
        <w:r>
          <w:tab/>
        </w:r>
        <w:r>
          <w:fldChar w:fldCharType="begin"/>
        </w:r>
        <w:r>
          <w:instrText xml:space="preserve"> PAGEREF _Toc13150 \h </w:instrText>
        </w:r>
        <w:r>
          <w:fldChar w:fldCharType="separate"/>
        </w:r>
        <w:r>
          <w:t>3</w:t>
        </w:r>
        <w:r>
          <w:t>3</w:t>
        </w:r>
        <w:r>
          <w:fldChar w:fldCharType="end"/>
        </w:r>
      </w:hyperlink>
    </w:p>
    <w:p w:rsidR="004B7B94" w:rsidRDefault="00E10EAD">
      <w:pPr>
        <w:pStyle w:val="10"/>
        <w:tabs>
          <w:tab w:val="clear" w:pos="8455"/>
          <w:tab w:val="right" w:leader="dot" w:pos="8312"/>
        </w:tabs>
        <w:adjustRightInd w:val="0"/>
        <w:snapToGrid w:val="0"/>
      </w:pPr>
      <w:hyperlink w:anchor="_Toc5081" w:history="1">
        <w:r>
          <w:rPr>
            <w:rFonts w:hint="eastAsia"/>
          </w:rPr>
          <w:t>十、基金信息披露</w:t>
        </w:r>
        <w:r>
          <w:tab/>
        </w:r>
        <w:r>
          <w:fldChar w:fldCharType="begin"/>
        </w:r>
        <w:r>
          <w:instrText xml:space="preserve"> PAGEREF _Toc5081 \h </w:instrText>
        </w:r>
        <w:r>
          <w:fldChar w:fldCharType="separate"/>
        </w:r>
        <w:r>
          <w:t>34</w:t>
        </w:r>
        <w:r>
          <w:fldChar w:fldCharType="end"/>
        </w:r>
      </w:hyperlink>
    </w:p>
    <w:p w:rsidR="004B7B94" w:rsidRDefault="00E10EAD">
      <w:pPr>
        <w:pStyle w:val="10"/>
        <w:tabs>
          <w:tab w:val="clear" w:pos="8455"/>
          <w:tab w:val="right" w:leader="dot" w:pos="8312"/>
        </w:tabs>
        <w:adjustRightInd w:val="0"/>
        <w:snapToGrid w:val="0"/>
      </w:pPr>
      <w:hyperlink w:anchor="_Toc11218" w:history="1">
        <w:r>
          <w:rPr>
            <w:rFonts w:hint="eastAsia"/>
          </w:rPr>
          <w:t>十一、基金费用</w:t>
        </w:r>
        <w:r>
          <w:tab/>
        </w:r>
        <w:r>
          <w:fldChar w:fldCharType="begin"/>
        </w:r>
        <w:r>
          <w:instrText xml:space="preserve"> PAGEREF _Toc11218 \h </w:instrText>
        </w:r>
        <w:r>
          <w:fldChar w:fldCharType="separate"/>
        </w:r>
        <w:r>
          <w:t>35</w:t>
        </w:r>
        <w:r>
          <w:fldChar w:fldCharType="end"/>
        </w:r>
      </w:hyperlink>
    </w:p>
    <w:p w:rsidR="004B7B94" w:rsidRDefault="00E10EAD">
      <w:pPr>
        <w:pStyle w:val="10"/>
        <w:tabs>
          <w:tab w:val="clear" w:pos="8455"/>
          <w:tab w:val="right" w:leader="dot" w:pos="8312"/>
        </w:tabs>
        <w:adjustRightInd w:val="0"/>
        <w:snapToGrid w:val="0"/>
      </w:pPr>
      <w:hyperlink w:anchor="_Toc6425" w:history="1">
        <w:r>
          <w:rPr>
            <w:rFonts w:hint="eastAsia"/>
          </w:rPr>
          <w:t>十二、基金份额持有人名册的保管</w:t>
        </w:r>
        <w:r>
          <w:tab/>
        </w:r>
        <w:r>
          <w:fldChar w:fldCharType="begin"/>
        </w:r>
        <w:r>
          <w:instrText xml:space="preserve"> PAGEREF _Toc6425 \h </w:instrText>
        </w:r>
        <w:r>
          <w:fldChar w:fldCharType="separate"/>
        </w:r>
        <w:r>
          <w:t>38</w:t>
        </w:r>
        <w:r>
          <w:fldChar w:fldCharType="end"/>
        </w:r>
      </w:hyperlink>
      <w:r>
        <w:rPr>
          <w:rFonts w:hint="eastAsia"/>
        </w:rPr>
        <w:t>8</w:t>
      </w:r>
    </w:p>
    <w:p w:rsidR="004B7B94" w:rsidRDefault="00E10EAD">
      <w:pPr>
        <w:pStyle w:val="10"/>
        <w:tabs>
          <w:tab w:val="clear" w:pos="8455"/>
          <w:tab w:val="right" w:leader="dot" w:pos="8312"/>
        </w:tabs>
        <w:adjustRightInd w:val="0"/>
        <w:snapToGrid w:val="0"/>
      </w:pPr>
      <w:hyperlink w:anchor="_Toc19803" w:history="1">
        <w:r>
          <w:rPr>
            <w:rFonts w:hint="eastAsia"/>
          </w:rPr>
          <w:t>十三、基金有关文件档案的保存</w:t>
        </w:r>
        <w:r>
          <w:tab/>
        </w:r>
        <w:r>
          <w:fldChar w:fldCharType="begin"/>
        </w:r>
        <w:r>
          <w:instrText xml:space="preserve"> PAGEREF _Toc19803 \h </w:instrText>
        </w:r>
        <w:r>
          <w:fldChar w:fldCharType="separate"/>
        </w:r>
        <w:r>
          <w:t>3</w:t>
        </w:r>
        <w:r>
          <w:t>9</w:t>
        </w:r>
        <w:r>
          <w:fldChar w:fldCharType="end"/>
        </w:r>
      </w:hyperlink>
      <w:r>
        <w:rPr>
          <w:rFonts w:hint="eastAsia"/>
        </w:rPr>
        <w:t>9</w:t>
      </w:r>
    </w:p>
    <w:p w:rsidR="004B7B94" w:rsidRDefault="00E10EAD">
      <w:pPr>
        <w:pStyle w:val="10"/>
        <w:tabs>
          <w:tab w:val="clear" w:pos="8455"/>
          <w:tab w:val="right" w:leader="dot" w:pos="8312"/>
        </w:tabs>
        <w:adjustRightInd w:val="0"/>
        <w:snapToGrid w:val="0"/>
      </w:pPr>
      <w:hyperlink w:anchor="_Toc10561" w:history="1">
        <w:r>
          <w:rPr>
            <w:rFonts w:hint="eastAsia"/>
          </w:rPr>
          <w:t>十四、基金管理人和基金托管人的更换</w:t>
        </w:r>
        <w:r>
          <w:tab/>
        </w:r>
        <w:r>
          <w:fldChar w:fldCharType="begin"/>
        </w:r>
        <w:r>
          <w:instrText xml:space="preserve"> PAGEREF _Toc10561 \h </w:instrText>
        </w:r>
        <w:r>
          <w:fldChar w:fldCharType="separate"/>
        </w:r>
        <w:r>
          <w:t>39</w:t>
        </w:r>
        <w:r>
          <w:fldChar w:fldCharType="end"/>
        </w:r>
      </w:hyperlink>
      <w:r>
        <w:rPr>
          <w:rFonts w:hint="eastAsia"/>
        </w:rPr>
        <w:t>9</w:t>
      </w:r>
    </w:p>
    <w:p w:rsidR="004B7B94" w:rsidRDefault="00E10EAD">
      <w:pPr>
        <w:pStyle w:val="10"/>
        <w:tabs>
          <w:tab w:val="clear" w:pos="8455"/>
          <w:tab w:val="right" w:leader="dot" w:pos="8312"/>
        </w:tabs>
        <w:adjustRightInd w:val="0"/>
        <w:snapToGrid w:val="0"/>
      </w:pPr>
      <w:hyperlink w:anchor="_Toc9402" w:history="1">
        <w:r>
          <w:rPr>
            <w:rFonts w:hint="eastAsia"/>
          </w:rPr>
          <w:t>十五、禁止行为</w:t>
        </w:r>
        <w:r>
          <w:tab/>
        </w:r>
        <w:r>
          <w:fldChar w:fldCharType="begin"/>
        </w:r>
        <w:r>
          <w:instrText xml:space="preserve"> PAGEREF _Toc9402 </w:instrText>
        </w:r>
        <w:r>
          <w:instrText xml:space="preserve">\h </w:instrText>
        </w:r>
        <w:r>
          <w:fldChar w:fldCharType="separate"/>
        </w:r>
        <w:r>
          <w:t>42</w:t>
        </w:r>
        <w:r>
          <w:fldChar w:fldCharType="end"/>
        </w:r>
      </w:hyperlink>
    </w:p>
    <w:p w:rsidR="004B7B94" w:rsidRDefault="00E10EAD">
      <w:pPr>
        <w:pStyle w:val="10"/>
        <w:tabs>
          <w:tab w:val="clear" w:pos="8455"/>
          <w:tab w:val="right" w:leader="dot" w:pos="8312"/>
        </w:tabs>
        <w:adjustRightInd w:val="0"/>
        <w:snapToGrid w:val="0"/>
      </w:pPr>
      <w:hyperlink w:anchor="_Toc22847" w:history="1">
        <w:r>
          <w:rPr>
            <w:rFonts w:hint="eastAsia"/>
          </w:rPr>
          <w:t>十六、基金托管协议的变更、终止与基金财产的清算</w:t>
        </w:r>
        <w:r>
          <w:tab/>
        </w:r>
        <w:r>
          <w:fldChar w:fldCharType="begin"/>
        </w:r>
        <w:r>
          <w:instrText xml:space="preserve"> PAGEREF _Toc22847 \h </w:instrText>
        </w:r>
        <w:r>
          <w:fldChar w:fldCharType="separate"/>
        </w:r>
        <w:r>
          <w:t>43</w:t>
        </w:r>
        <w:r>
          <w:fldChar w:fldCharType="end"/>
        </w:r>
      </w:hyperlink>
    </w:p>
    <w:p w:rsidR="004B7B94" w:rsidRDefault="00E10EAD">
      <w:pPr>
        <w:pStyle w:val="10"/>
        <w:tabs>
          <w:tab w:val="clear" w:pos="8455"/>
          <w:tab w:val="right" w:leader="dot" w:pos="8312"/>
        </w:tabs>
        <w:adjustRightInd w:val="0"/>
        <w:snapToGrid w:val="0"/>
      </w:pPr>
      <w:hyperlink w:anchor="_Toc2446" w:history="1">
        <w:r>
          <w:rPr>
            <w:rFonts w:hint="eastAsia"/>
          </w:rPr>
          <w:t>十七、违约责任</w:t>
        </w:r>
        <w:r>
          <w:tab/>
        </w:r>
        <w:r>
          <w:fldChar w:fldCharType="begin"/>
        </w:r>
        <w:r>
          <w:instrText xml:space="preserve"> PAGEREF _Toc2446 \h </w:instrText>
        </w:r>
        <w:r>
          <w:fldChar w:fldCharType="separate"/>
        </w:r>
        <w:r>
          <w:t>45</w:t>
        </w:r>
        <w:r>
          <w:fldChar w:fldCharType="end"/>
        </w:r>
      </w:hyperlink>
    </w:p>
    <w:p w:rsidR="004B7B94" w:rsidRDefault="00E10EAD">
      <w:pPr>
        <w:pStyle w:val="10"/>
        <w:tabs>
          <w:tab w:val="clear" w:pos="8455"/>
          <w:tab w:val="right" w:leader="dot" w:pos="8312"/>
        </w:tabs>
        <w:adjustRightInd w:val="0"/>
        <w:snapToGrid w:val="0"/>
      </w:pPr>
      <w:hyperlink w:anchor="_Toc1787" w:history="1">
        <w:r>
          <w:rPr>
            <w:rFonts w:hint="eastAsia"/>
          </w:rPr>
          <w:t>十八、争议解决方式</w:t>
        </w:r>
        <w:r>
          <w:tab/>
        </w:r>
        <w:r>
          <w:fldChar w:fldCharType="begin"/>
        </w:r>
        <w:r>
          <w:instrText xml:space="preserve"> PAGEREF _Toc1787 \h </w:instrText>
        </w:r>
        <w:r>
          <w:fldChar w:fldCharType="separate"/>
        </w:r>
        <w:r>
          <w:t>47</w:t>
        </w:r>
        <w:r>
          <w:fldChar w:fldCharType="end"/>
        </w:r>
      </w:hyperlink>
      <w:r>
        <w:rPr>
          <w:rFonts w:hint="eastAsia"/>
        </w:rPr>
        <w:t>7</w:t>
      </w:r>
    </w:p>
    <w:p w:rsidR="004B7B94" w:rsidRDefault="00E10EAD">
      <w:pPr>
        <w:pStyle w:val="10"/>
        <w:tabs>
          <w:tab w:val="clear" w:pos="8455"/>
          <w:tab w:val="right" w:leader="dot" w:pos="8312"/>
        </w:tabs>
        <w:adjustRightInd w:val="0"/>
        <w:snapToGrid w:val="0"/>
      </w:pPr>
      <w:hyperlink w:anchor="_Toc15322" w:history="1">
        <w:r>
          <w:rPr>
            <w:rFonts w:hint="eastAsia"/>
          </w:rPr>
          <w:t>十九、基金托管协议的效力</w:t>
        </w:r>
        <w:r>
          <w:tab/>
        </w:r>
        <w:r>
          <w:fldChar w:fldCharType="begin"/>
        </w:r>
        <w:r>
          <w:instrText xml:space="preserve"> PAGEREF _Toc15322 \h </w:instrText>
        </w:r>
        <w:r>
          <w:fldChar w:fldCharType="separate"/>
        </w:r>
        <w:r>
          <w:t>47</w:t>
        </w:r>
        <w:r>
          <w:fldChar w:fldCharType="end"/>
        </w:r>
      </w:hyperlink>
    </w:p>
    <w:p w:rsidR="004B7B94" w:rsidRDefault="00E10EAD">
      <w:pPr>
        <w:pStyle w:val="10"/>
        <w:tabs>
          <w:tab w:val="clear" w:pos="8455"/>
          <w:tab w:val="right" w:leader="dot" w:pos="8312"/>
        </w:tabs>
        <w:adjustRightInd w:val="0"/>
        <w:snapToGrid w:val="0"/>
      </w:pPr>
      <w:hyperlink w:anchor="_Toc19769" w:history="1">
        <w:r>
          <w:rPr>
            <w:rFonts w:hint="eastAsia"/>
          </w:rPr>
          <w:t>二十、其他事项</w:t>
        </w:r>
        <w:r>
          <w:tab/>
        </w:r>
        <w:r>
          <w:fldChar w:fldCharType="begin"/>
        </w:r>
        <w:r>
          <w:instrText xml:space="preserve"> PAGEREF _Toc19769 \h </w:instrText>
        </w:r>
        <w:r>
          <w:fldChar w:fldCharType="separate"/>
        </w:r>
        <w:r>
          <w:t>48</w:t>
        </w:r>
        <w:r>
          <w:fldChar w:fldCharType="end"/>
        </w:r>
      </w:hyperlink>
      <w:r>
        <w:rPr>
          <w:rFonts w:hint="eastAsia"/>
        </w:rPr>
        <w:t>8</w:t>
      </w:r>
    </w:p>
    <w:p w:rsidR="004B7B94" w:rsidRDefault="00E10EAD">
      <w:pPr>
        <w:pStyle w:val="10"/>
        <w:tabs>
          <w:tab w:val="clear" w:pos="8455"/>
          <w:tab w:val="right" w:leader="dot" w:pos="8312"/>
        </w:tabs>
        <w:adjustRightInd w:val="0"/>
        <w:snapToGrid w:val="0"/>
      </w:pPr>
      <w:hyperlink w:anchor="_Toc8923" w:history="1">
        <w:r>
          <w:rPr>
            <w:rFonts w:hint="eastAsia"/>
          </w:rPr>
          <w:t>二十一、基金托管协议的签订</w:t>
        </w:r>
        <w:r>
          <w:tab/>
        </w:r>
        <w:r>
          <w:fldChar w:fldCharType="begin"/>
        </w:r>
        <w:r>
          <w:instrText xml:space="preserve"> PAGEREF _Toc8923 \h </w:instrText>
        </w:r>
        <w:r>
          <w:fldChar w:fldCharType="separate"/>
        </w:r>
        <w:r>
          <w:t>48</w:t>
        </w:r>
        <w:r>
          <w:fldChar w:fldCharType="end"/>
        </w:r>
      </w:hyperlink>
      <w:r>
        <w:rPr>
          <w:rFonts w:hint="eastAsia"/>
        </w:rPr>
        <w:t>8</w:t>
      </w:r>
    </w:p>
    <w:p w:rsidR="004B7B94" w:rsidRDefault="00E10EAD">
      <w:pPr>
        <w:pStyle w:val="10"/>
        <w:tabs>
          <w:tab w:val="clear" w:pos="8455"/>
          <w:tab w:val="right" w:leader="dot" w:pos="8296"/>
        </w:tabs>
        <w:adjustRightInd w:val="0"/>
        <w:snapToGrid w:val="0"/>
        <w:spacing w:before="0"/>
        <w:ind w:firstLineChars="200" w:firstLine="402"/>
        <w:jc w:val="both"/>
        <w:rPr>
          <w:rStyle w:val="ac"/>
          <w:rFonts w:ascii="宋体" w:hAnsi="宋体"/>
          <w:bCs/>
          <w:color w:val="000000"/>
        </w:rPr>
      </w:pPr>
      <w:r>
        <w:rPr>
          <w:rFonts w:ascii="宋体" w:hAnsi="宋体"/>
          <w:bCs/>
          <w:color w:val="000000"/>
          <w:szCs w:val="24"/>
        </w:rPr>
        <w:fldChar w:fldCharType="end"/>
      </w:r>
    </w:p>
    <w:p w:rsidR="004B7B94" w:rsidRDefault="004B7B94">
      <w:pPr>
        <w:spacing w:line="360" w:lineRule="auto"/>
        <w:ind w:firstLineChars="200" w:firstLine="420"/>
        <w:rPr>
          <w:rStyle w:val="ac"/>
          <w:rFonts w:ascii="宋体" w:hAnsi="宋体"/>
          <w:bCs/>
          <w:color w:val="000000"/>
        </w:rPr>
        <w:sectPr w:rsidR="004B7B94">
          <w:headerReference w:type="default" r:id="rId12"/>
          <w:footerReference w:type="default" r:id="rId13"/>
          <w:pgSz w:w="11906" w:h="16838"/>
          <w:pgMar w:top="1440" w:right="1797" w:bottom="1440" w:left="1797" w:header="851" w:footer="992" w:gutter="0"/>
          <w:pgNumType w:start="1"/>
          <w:cols w:space="425"/>
          <w:titlePg/>
          <w:docGrid w:type="linesAndChars" w:linePitch="312"/>
        </w:sectPr>
      </w:pPr>
      <w:bookmarkStart w:id="1" w:name="_Toc125892432"/>
      <w:bookmarkStart w:id="2" w:name="_Toc22454432"/>
      <w:bookmarkStart w:id="3" w:name="_Toc523829992"/>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鉴于华商基金管理有限公司系一家依照中国法律合法成立并有效存续的有限责任公司，按照相关法律法规的规定具备担任基金管理人的资格和能力，拟募集发行</w:t>
      </w:r>
      <w:proofErr w:type="gramStart"/>
      <w:r>
        <w:rPr>
          <w:rFonts w:ascii="宋体" w:hAnsi="宋体" w:hint="eastAsia"/>
          <w:color w:val="000000"/>
          <w:kern w:val="0"/>
          <w:sz w:val="24"/>
        </w:rPr>
        <w:t>华商元</w:t>
      </w:r>
      <w:proofErr w:type="gramEnd"/>
      <w:r>
        <w:rPr>
          <w:rFonts w:ascii="宋体" w:hAnsi="宋体" w:hint="eastAsia"/>
          <w:color w:val="000000"/>
          <w:kern w:val="0"/>
          <w:sz w:val="24"/>
        </w:rPr>
        <w:t>亨灵活配置混合型证券投资基金（以下简称“本基金”或“基金”）；</w:t>
      </w:r>
      <w:bookmarkEnd w:id="1"/>
    </w:p>
    <w:p w:rsidR="004B7B94" w:rsidRDefault="00E10EAD">
      <w:pPr>
        <w:spacing w:line="360" w:lineRule="auto"/>
        <w:ind w:firstLineChars="200" w:firstLine="480"/>
        <w:rPr>
          <w:rFonts w:ascii="宋体" w:hAnsi="宋体"/>
          <w:color w:val="000000"/>
          <w:kern w:val="0"/>
          <w:sz w:val="24"/>
        </w:rPr>
      </w:pPr>
      <w:bookmarkStart w:id="4" w:name="_Toc125892433"/>
      <w:r>
        <w:rPr>
          <w:rFonts w:ascii="宋体" w:hAnsi="宋体" w:hint="eastAsia"/>
          <w:color w:val="000000"/>
          <w:kern w:val="0"/>
          <w:sz w:val="24"/>
        </w:rPr>
        <w:t>鉴于</w:t>
      </w:r>
      <w:proofErr w:type="gramStart"/>
      <w:r>
        <w:rPr>
          <w:rFonts w:ascii="宋体" w:hAnsi="宋体" w:hint="eastAsia"/>
          <w:color w:val="000000"/>
          <w:kern w:val="0"/>
          <w:sz w:val="24"/>
        </w:rPr>
        <w:t>国泰</w:t>
      </w:r>
      <w:r>
        <w:rPr>
          <w:rFonts w:ascii="宋体" w:hAnsi="宋体" w:hint="eastAsia"/>
          <w:color w:val="000000"/>
          <w:kern w:val="0"/>
          <w:sz w:val="24"/>
        </w:rPr>
        <w:t>海通</w:t>
      </w:r>
      <w:proofErr w:type="gramEnd"/>
      <w:r>
        <w:rPr>
          <w:rFonts w:ascii="宋体" w:hAnsi="宋体" w:hint="eastAsia"/>
          <w:color w:val="000000"/>
          <w:kern w:val="0"/>
          <w:sz w:val="24"/>
        </w:rPr>
        <w:t>证券股份有限公司系一家依照中国法律合法成立并有效存续的证券公司，按照相关法律法规的规定具备担任基金托管人的资格和能力；</w:t>
      </w:r>
      <w:bookmarkEnd w:id="4"/>
    </w:p>
    <w:p w:rsidR="004B7B94" w:rsidRDefault="00E10EAD">
      <w:pPr>
        <w:spacing w:line="360" w:lineRule="auto"/>
        <w:ind w:firstLineChars="200" w:firstLine="480"/>
        <w:rPr>
          <w:rFonts w:ascii="宋体" w:hAnsi="宋体"/>
          <w:color w:val="000000"/>
          <w:kern w:val="0"/>
          <w:sz w:val="24"/>
        </w:rPr>
      </w:pPr>
      <w:bookmarkStart w:id="5" w:name="_Toc125892434"/>
      <w:r>
        <w:rPr>
          <w:rFonts w:ascii="宋体" w:hAnsi="宋体" w:hint="eastAsia"/>
          <w:color w:val="000000"/>
          <w:kern w:val="0"/>
          <w:sz w:val="24"/>
        </w:rPr>
        <w:t>鉴于华商基金管理有限公司拟担任</w:t>
      </w:r>
      <w:proofErr w:type="gramStart"/>
      <w:r>
        <w:rPr>
          <w:rFonts w:ascii="宋体" w:hAnsi="宋体" w:hint="eastAsia"/>
          <w:color w:val="000000"/>
          <w:kern w:val="0"/>
          <w:sz w:val="24"/>
        </w:rPr>
        <w:t>华商元</w:t>
      </w:r>
      <w:proofErr w:type="gramEnd"/>
      <w:r>
        <w:rPr>
          <w:rFonts w:ascii="宋体" w:hAnsi="宋体" w:hint="eastAsia"/>
          <w:color w:val="000000"/>
          <w:kern w:val="0"/>
          <w:sz w:val="24"/>
        </w:rPr>
        <w:t>亨灵活配置混合型证券投资基金的基金管理人，</w:t>
      </w:r>
      <w:proofErr w:type="gramStart"/>
      <w:r>
        <w:rPr>
          <w:rFonts w:ascii="宋体" w:hAnsi="宋体" w:hint="eastAsia"/>
          <w:color w:val="000000"/>
          <w:kern w:val="0"/>
          <w:sz w:val="24"/>
        </w:rPr>
        <w:t>国泰</w:t>
      </w:r>
      <w:r>
        <w:rPr>
          <w:rFonts w:ascii="宋体" w:hAnsi="宋体" w:hint="eastAsia"/>
          <w:color w:val="000000"/>
          <w:kern w:val="0"/>
          <w:sz w:val="24"/>
        </w:rPr>
        <w:t>海通</w:t>
      </w:r>
      <w:proofErr w:type="gramEnd"/>
      <w:r>
        <w:rPr>
          <w:rFonts w:ascii="宋体" w:hAnsi="宋体" w:hint="eastAsia"/>
          <w:color w:val="000000"/>
          <w:kern w:val="0"/>
          <w:sz w:val="24"/>
        </w:rPr>
        <w:t>证券股份有限公司拟担任</w:t>
      </w:r>
      <w:proofErr w:type="gramStart"/>
      <w:r>
        <w:rPr>
          <w:rFonts w:ascii="宋体" w:hAnsi="宋体" w:hint="eastAsia"/>
          <w:color w:val="000000"/>
          <w:kern w:val="0"/>
          <w:sz w:val="24"/>
        </w:rPr>
        <w:t>华商元</w:t>
      </w:r>
      <w:proofErr w:type="gramEnd"/>
      <w:r>
        <w:rPr>
          <w:rFonts w:ascii="宋体" w:hAnsi="宋体" w:hint="eastAsia"/>
          <w:color w:val="000000"/>
          <w:kern w:val="0"/>
          <w:sz w:val="24"/>
        </w:rPr>
        <w:t>亨灵活配置混合型证券投资基金的基金托管人；</w:t>
      </w:r>
      <w:bookmarkEnd w:id="5"/>
    </w:p>
    <w:p w:rsidR="004B7B94" w:rsidRDefault="00E10EAD">
      <w:pPr>
        <w:spacing w:line="360" w:lineRule="auto"/>
        <w:ind w:firstLineChars="200" w:firstLine="480"/>
        <w:rPr>
          <w:rFonts w:ascii="宋体" w:hAnsi="宋体"/>
          <w:color w:val="000000"/>
          <w:kern w:val="0"/>
          <w:sz w:val="24"/>
        </w:rPr>
      </w:pPr>
      <w:bookmarkStart w:id="6" w:name="_Toc125892435"/>
      <w:r>
        <w:rPr>
          <w:rFonts w:ascii="宋体" w:hAnsi="宋体" w:hint="eastAsia"/>
          <w:color w:val="000000"/>
          <w:kern w:val="0"/>
          <w:sz w:val="24"/>
        </w:rPr>
        <w:t>为明确</w:t>
      </w:r>
      <w:proofErr w:type="gramStart"/>
      <w:r>
        <w:rPr>
          <w:rFonts w:ascii="宋体" w:hAnsi="宋体" w:hint="eastAsia"/>
          <w:color w:val="000000"/>
          <w:kern w:val="0"/>
          <w:sz w:val="24"/>
        </w:rPr>
        <w:t>华商元</w:t>
      </w:r>
      <w:proofErr w:type="gramEnd"/>
      <w:r>
        <w:rPr>
          <w:rFonts w:ascii="宋体" w:hAnsi="宋体" w:hint="eastAsia"/>
          <w:color w:val="000000"/>
          <w:kern w:val="0"/>
          <w:sz w:val="24"/>
        </w:rPr>
        <w:t>亨灵活配置混合型证券投资基金的基金管理人和基金托管人之间的权利义务关系，特制订本协议；</w:t>
      </w:r>
      <w:bookmarkEnd w:id="6"/>
    </w:p>
    <w:p w:rsidR="004B7B94" w:rsidRDefault="00E10EAD">
      <w:pPr>
        <w:spacing w:line="360" w:lineRule="auto"/>
        <w:ind w:firstLineChars="200" w:firstLine="480"/>
        <w:rPr>
          <w:rFonts w:ascii="宋体" w:hAnsi="宋体"/>
          <w:color w:val="000000"/>
          <w:kern w:val="0"/>
          <w:sz w:val="24"/>
        </w:rPr>
      </w:pPr>
      <w:bookmarkStart w:id="7" w:name="_Toc125892436"/>
      <w:r>
        <w:rPr>
          <w:rFonts w:ascii="宋体" w:hAnsi="宋体" w:hint="eastAsia"/>
          <w:color w:val="000000"/>
          <w:kern w:val="0"/>
          <w:sz w:val="24"/>
        </w:rPr>
        <w:t>除非文义另有所指，本协议的所有术语与《华商元亨灵活配置混合型证券投资基金基金合同》（以下简称《基金合同》）中定义的相应术语具有相同的含义。若有抵触应以《基金合同》为准，并依其条款解释。</w:t>
      </w:r>
      <w:bookmarkStart w:id="8" w:name="_Toc125892437"/>
      <w:bookmarkEnd w:id="7"/>
    </w:p>
    <w:p w:rsidR="004B7B94" w:rsidRDefault="00E10EAD">
      <w:pPr>
        <w:pStyle w:val="1"/>
        <w:spacing w:before="0" w:after="0"/>
        <w:ind w:firstLineChars="200" w:firstLine="482"/>
      </w:pPr>
      <w:r>
        <w:br w:type="page"/>
      </w:r>
      <w:bookmarkStart w:id="9" w:name="_Toc59200016"/>
      <w:bookmarkStart w:id="10" w:name="_Toc32650"/>
      <w:bookmarkStart w:id="11" w:name="_Toc291504129"/>
      <w:bookmarkStart w:id="12" w:name="_Toc3456"/>
      <w:r>
        <w:rPr>
          <w:rFonts w:hint="eastAsia"/>
        </w:rPr>
        <w:lastRenderedPageBreak/>
        <w:t>一、基金托管协议当事人</w:t>
      </w:r>
      <w:bookmarkEnd w:id="2"/>
      <w:bookmarkEnd w:id="3"/>
      <w:bookmarkEnd w:id="8"/>
      <w:bookmarkEnd w:id="9"/>
      <w:bookmarkEnd w:id="10"/>
      <w:bookmarkEnd w:id="11"/>
      <w:bookmarkEnd w:id="12"/>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13" w:name="_Toc77662992"/>
      <w:bookmarkStart w:id="14" w:name="_Toc22454433"/>
      <w:r>
        <w:rPr>
          <w:rFonts w:ascii="宋体" w:hAnsi="宋体" w:hint="eastAsia"/>
          <w:b/>
          <w:bCs/>
          <w:color w:val="000000"/>
          <w:sz w:val="24"/>
        </w:rPr>
        <w:t>（一）基金管理人</w:t>
      </w:r>
      <w:bookmarkEnd w:id="13"/>
      <w:bookmarkEnd w:id="14"/>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名称：华商基金管理有限公司</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住所：北京市西城区平安里西大街</w:t>
      </w:r>
      <w:r>
        <w:rPr>
          <w:rFonts w:ascii="宋体" w:hAnsi="宋体" w:hint="eastAsia"/>
          <w:color w:val="000000"/>
          <w:kern w:val="0"/>
          <w:sz w:val="24"/>
        </w:rPr>
        <w:t>28</w:t>
      </w:r>
      <w:r>
        <w:rPr>
          <w:rFonts w:ascii="宋体" w:hAnsi="宋体" w:hint="eastAsia"/>
          <w:color w:val="000000"/>
          <w:kern w:val="0"/>
          <w:sz w:val="24"/>
        </w:rPr>
        <w:t>号楼</w:t>
      </w:r>
      <w:r>
        <w:rPr>
          <w:rFonts w:ascii="宋体" w:hAnsi="宋体" w:hint="eastAsia"/>
          <w:color w:val="000000"/>
          <w:kern w:val="0"/>
          <w:sz w:val="24"/>
        </w:rPr>
        <w:t>19</w:t>
      </w:r>
      <w:r>
        <w:rPr>
          <w:rFonts w:ascii="宋体" w:hAnsi="宋体" w:hint="eastAsia"/>
          <w:color w:val="000000"/>
          <w:kern w:val="0"/>
          <w:sz w:val="24"/>
        </w:rPr>
        <w:t>层</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办公地址：北京市西城区平安里西大街</w:t>
      </w:r>
      <w:r>
        <w:rPr>
          <w:rFonts w:ascii="宋体" w:hAnsi="宋体" w:hint="eastAsia"/>
          <w:color w:val="000000"/>
          <w:kern w:val="0"/>
          <w:sz w:val="24"/>
        </w:rPr>
        <w:t>28</w:t>
      </w:r>
      <w:r>
        <w:rPr>
          <w:rFonts w:ascii="宋体" w:hAnsi="宋体" w:hint="eastAsia"/>
          <w:color w:val="000000"/>
          <w:kern w:val="0"/>
          <w:sz w:val="24"/>
        </w:rPr>
        <w:t>号</w:t>
      </w:r>
      <w:r>
        <w:rPr>
          <w:rFonts w:hint="eastAsia"/>
          <w:bCs/>
          <w:sz w:val="24"/>
        </w:rPr>
        <w:t>楼</w:t>
      </w:r>
      <w:r>
        <w:rPr>
          <w:rFonts w:ascii="宋体" w:hAnsi="宋体" w:hint="eastAsia"/>
          <w:color w:val="000000"/>
          <w:kern w:val="0"/>
          <w:sz w:val="24"/>
        </w:rPr>
        <w:t>19</w:t>
      </w:r>
      <w:r>
        <w:rPr>
          <w:rFonts w:ascii="宋体" w:hAnsi="宋体" w:hint="eastAsia"/>
          <w:color w:val="000000"/>
          <w:kern w:val="0"/>
          <w:sz w:val="24"/>
        </w:rPr>
        <w:t>层</w:t>
      </w:r>
    </w:p>
    <w:p w:rsidR="004B7B94" w:rsidRDefault="00E10EAD">
      <w:pPr>
        <w:spacing w:line="360" w:lineRule="auto"/>
        <w:ind w:firstLineChars="200" w:firstLine="480"/>
        <w:rPr>
          <w:color w:val="000000"/>
          <w:sz w:val="24"/>
        </w:rPr>
      </w:pPr>
      <w:r>
        <w:rPr>
          <w:rFonts w:ascii="宋体" w:hAnsi="宋体" w:hint="eastAsia"/>
          <w:color w:val="000000"/>
          <w:kern w:val="0"/>
          <w:sz w:val="24"/>
        </w:rPr>
        <w:t>法定代表人：</w:t>
      </w:r>
      <w:r>
        <w:rPr>
          <w:rFonts w:hint="eastAsia"/>
          <w:color w:val="000000"/>
          <w:sz w:val="24"/>
        </w:rPr>
        <w:t>苏金奎</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成立时间：</w:t>
      </w:r>
      <w:r>
        <w:rPr>
          <w:rFonts w:ascii="宋体" w:hAnsi="宋体" w:hint="eastAsia"/>
          <w:color w:val="000000"/>
          <w:kern w:val="0"/>
          <w:sz w:val="24"/>
        </w:rPr>
        <w:t>2005</w:t>
      </w:r>
      <w:r>
        <w:rPr>
          <w:rFonts w:ascii="宋体" w:hAnsi="宋体" w:hint="eastAsia"/>
          <w:color w:val="000000"/>
          <w:kern w:val="0"/>
          <w:sz w:val="24"/>
        </w:rPr>
        <w:t>年</w:t>
      </w:r>
      <w:r>
        <w:rPr>
          <w:rFonts w:ascii="宋体" w:hAnsi="宋体" w:hint="eastAsia"/>
          <w:color w:val="000000"/>
          <w:kern w:val="0"/>
          <w:sz w:val="24"/>
        </w:rPr>
        <w:t>12</w:t>
      </w:r>
      <w:r>
        <w:rPr>
          <w:rFonts w:ascii="宋体" w:hAnsi="宋体" w:hint="eastAsia"/>
          <w:color w:val="000000"/>
          <w:kern w:val="0"/>
          <w:sz w:val="24"/>
        </w:rPr>
        <w:t>月</w:t>
      </w:r>
      <w:r>
        <w:rPr>
          <w:rFonts w:ascii="宋体" w:hAnsi="宋体" w:hint="eastAsia"/>
          <w:color w:val="000000"/>
          <w:kern w:val="0"/>
          <w:sz w:val="24"/>
        </w:rPr>
        <w:t>20</w:t>
      </w:r>
      <w:r>
        <w:rPr>
          <w:rFonts w:ascii="宋体" w:hAnsi="宋体" w:hint="eastAsia"/>
          <w:color w:val="000000"/>
          <w:kern w:val="0"/>
          <w:sz w:val="24"/>
        </w:rPr>
        <w:t>日</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批准设立机关：中国证监会</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批准设立文号：证</w:t>
      </w:r>
      <w:proofErr w:type="gramStart"/>
      <w:r>
        <w:rPr>
          <w:rFonts w:ascii="宋体" w:hAnsi="宋体" w:hint="eastAsia"/>
          <w:color w:val="000000"/>
          <w:kern w:val="0"/>
          <w:sz w:val="24"/>
        </w:rPr>
        <w:t>监基金字</w:t>
      </w:r>
      <w:proofErr w:type="gramEnd"/>
      <w:r>
        <w:rPr>
          <w:rFonts w:ascii="宋体" w:hAnsi="宋体" w:hint="eastAsia"/>
          <w:color w:val="000000"/>
          <w:kern w:val="0"/>
          <w:sz w:val="24"/>
        </w:rPr>
        <w:t>【</w:t>
      </w:r>
      <w:r>
        <w:rPr>
          <w:rFonts w:ascii="宋体" w:hAnsi="宋体" w:hint="eastAsia"/>
          <w:color w:val="000000"/>
          <w:kern w:val="0"/>
          <w:sz w:val="24"/>
        </w:rPr>
        <w:t>2005</w:t>
      </w:r>
      <w:r>
        <w:rPr>
          <w:rFonts w:ascii="宋体" w:hAnsi="宋体" w:hint="eastAsia"/>
          <w:color w:val="000000"/>
          <w:kern w:val="0"/>
          <w:sz w:val="24"/>
        </w:rPr>
        <w:t>】</w:t>
      </w:r>
      <w:r>
        <w:rPr>
          <w:rFonts w:ascii="宋体" w:hAnsi="宋体" w:hint="eastAsia"/>
          <w:color w:val="000000"/>
          <w:kern w:val="0"/>
          <w:sz w:val="24"/>
        </w:rPr>
        <w:t>160</w:t>
      </w:r>
      <w:r>
        <w:rPr>
          <w:rFonts w:ascii="宋体" w:hAnsi="宋体" w:hint="eastAsia"/>
          <w:color w:val="000000"/>
          <w:kern w:val="0"/>
          <w:sz w:val="24"/>
        </w:rPr>
        <w:t>号</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组织形式：有限责任公司</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注册资本：壹亿元人民币</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经营范围：基金募集；基金销售；资产管理和中国证监会许可的其他业务</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存续期间：持续经营</w:t>
      </w:r>
      <w:bookmarkStart w:id="15" w:name="_Toc22454434"/>
      <w:bookmarkStart w:id="16" w:name="_Toc77662993"/>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（二）基金托管人</w:t>
      </w:r>
      <w:bookmarkEnd w:id="15"/>
      <w:bookmarkEnd w:id="16"/>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名称：</w:t>
      </w:r>
      <w:proofErr w:type="gramStart"/>
      <w:r>
        <w:rPr>
          <w:rFonts w:ascii="宋体" w:hAnsi="宋体" w:cs="宋体-WinCharSetFFFF-H" w:hint="eastAsia"/>
          <w:kern w:val="0"/>
          <w:sz w:val="24"/>
        </w:rPr>
        <w:t>国泰海通</w:t>
      </w:r>
      <w:proofErr w:type="gramEnd"/>
      <w:r>
        <w:rPr>
          <w:rFonts w:ascii="宋体" w:hAnsi="宋体" w:cs="宋体-WinCharSetFFFF-H" w:hint="eastAsia"/>
          <w:kern w:val="0"/>
          <w:sz w:val="24"/>
        </w:rPr>
        <w:t>证券股份有限公司（简称“国泰海通证券”）</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住所：中国（上海）自由贸易试验区商城路</w:t>
      </w:r>
      <w:r>
        <w:rPr>
          <w:rFonts w:ascii="宋体" w:hAnsi="宋体" w:cs="宋体-WinCharSetFFFF-H" w:hint="eastAsia"/>
          <w:kern w:val="0"/>
          <w:sz w:val="24"/>
        </w:rPr>
        <w:t>618</w:t>
      </w:r>
      <w:r>
        <w:rPr>
          <w:rFonts w:ascii="宋体" w:hAnsi="宋体" w:cs="宋体-WinCharSetFFFF-H" w:hint="eastAsia"/>
          <w:kern w:val="0"/>
          <w:sz w:val="24"/>
        </w:rPr>
        <w:t>号</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法定代表人：朱健</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成立时间：</w:t>
      </w:r>
      <w:r>
        <w:rPr>
          <w:rFonts w:ascii="宋体" w:hAnsi="宋体" w:cs="宋体-WinCharSetFFFF-H" w:hint="eastAsia"/>
          <w:kern w:val="0"/>
          <w:sz w:val="24"/>
        </w:rPr>
        <w:t>1999</w:t>
      </w:r>
      <w:r>
        <w:rPr>
          <w:rFonts w:ascii="宋体" w:hAnsi="宋体" w:cs="宋体-WinCharSetFFFF-H" w:hint="eastAsia"/>
          <w:kern w:val="0"/>
          <w:sz w:val="24"/>
        </w:rPr>
        <w:t>年</w:t>
      </w:r>
      <w:r>
        <w:rPr>
          <w:rFonts w:ascii="宋体" w:hAnsi="宋体" w:cs="宋体-WinCharSetFFFF-H" w:hint="eastAsia"/>
          <w:kern w:val="0"/>
          <w:sz w:val="24"/>
        </w:rPr>
        <w:t>8</w:t>
      </w:r>
      <w:r>
        <w:rPr>
          <w:rFonts w:ascii="宋体" w:hAnsi="宋体" w:cs="宋体-WinCharSetFFFF-H" w:hint="eastAsia"/>
          <w:kern w:val="0"/>
          <w:sz w:val="24"/>
        </w:rPr>
        <w:t>月</w:t>
      </w:r>
      <w:r>
        <w:rPr>
          <w:rFonts w:ascii="宋体" w:hAnsi="宋体" w:cs="宋体-WinCharSetFFFF-H" w:hint="eastAsia"/>
          <w:kern w:val="0"/>
          <w:sz w:val="24"/>
        </w:rPr>
        <w:t>18</w:t>
      </w:r>
      <w:r>
        <w:rPr>
          <w:rFonts w:ascii="宋体" w:hAnsi="宋体" w:cs="宋体-WinCharSetFFFF-H" w:hint="eastAsia"/>
          <w:kern w:val="0"/>
          <w:sz w:val="24"/>
        </w:rPr>
        <w:t>日</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批准设立机关：中国证监会</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批准设立文号：证监机构字</w:t>
      </w:r>
      <w:r>
        <w:rPr>
          <w:rFonts w:ascii="宋体" w:hAnsi="宋体" w:cs="宋体-WinCharSetFFFF-H" w:hint="eastAsia"/>
          <w:kern w:val="0"/>
          <w:sz w:val="24"/>
        </w:rPr>
        <w:t>[1999]77</w:t>
      </w:r>
      <w:r>
        <w:rPr>
          <w:rFonts w:ascii="宋体" w:hAnsi="宋体" w:cs="宋体-WinCharSetFFFF-H" w:hint="eastAsia"/>
          <w:kern w:val="0"/>
          <w:sz w:val="24"/>
        </w:rPr>
        <w:t>号</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lastRenderedPageBreak/>
        <w:t>组织形式：其他股份有限公司（上市）</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注册资本：人民币</w:t>
      </w:r>
      <w:r>
        <w:rPr>
          <w:rFonts w:ascii="宋体" w:hAnsi="宋体" w:cs="宋体-WinCharSetFFFF-H" w:hint="eastAsia"/>
          <w:kern w:val="0"/>
          <w:sz w:val="24"/>
        </w:rPr>
        <w:t xml:space="preserve"> </w:t>
      </w:r>
      <w:r>
        <w:rPr>
          <w:rFonts w:ascii="宋体" w:hAnsi="宋体" w:cs="宋体-WinCharSetFFFF-H" w:hint="eastAsia"/>
          <w:kern w:val="0"/>
          <w:sz w:val="24"/>
        </w:rPr>
        <w:t xml:space="preserve">17,629,708,696 </w:t>
      </w:r>
      <w:r>
        <w:rPr>
          <w:rFonts w:ascii="宋体" w:hAnsi="宋体" w:cs="宋体-WinCharSetFFFF-H" w:hint="eastAsia"/>
          <w:kern w:val="0"/>
          <w:sz w:val="24"/>
        </w:rPr>
        <w:t>元整</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存续期间：持续经营</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基金托管资格批文及文号：证监许可</w:t>
      </w:r>
      <w:r>
        <w:rPr>
          <w:rFonts w:ascii="宋体" w:hAnsi="宋体" w:cs="宋体-WinCharSetFFFF-H" w:hint="eastAsia"/>
          <w:kern w:val="0"/>
          <w:sz w:val="24"/>
        </w:rPr>
        <w:t>[2014]511</w:t>
      </w:r>
      <w:r>
        <w:rPr>
          <w:rFonts w:ascii="宋体" w:hAnsi="宋体" w:cs="宋体-WinCharSetFFFF-H" w:hint="eastAsia"/>
          <w:kern w:val="0"/>
          <w:sz w:val="24"/>
        </w:rPr>
        <w:t>号</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联系人：丛艳</w:t>
      </w:r>
    </w:p>
    <w:p w:rsidR="004B7B94" w:rsidRDefault="00E10EAD">
      <w:pPr>
        <w:autoSpaceDE w:val="0"/>
        <w:autoSpaceDN w:val="0"/>
        <w:adjustRightInd w:val="0"/>
        <w:spacing w:line="360" w:lineRule="auto"/>
        <w:ind w:firstLine="465"/>
        <w:jc w:val="left"/>
        <w:rPr>
          <w:rFonts w:ascii="宋体" w:hAnsi="宋体" w:cs="宋体-WinCharSetFFFF-H"/>
          <w:kern w:val="0"/>
          <w:sz w:val="24"/>
        </w:rPr>
      </w:pPr>
      <w:r>
        <w:rPr>
          <w:rFonts w:ascii="宋体" w:hAnsi="宋体" w:cs="宋体-WinCharSetFFFF-H" w:hint="eastAsia"/>
          <w:kern w:val="0"/>
          <w:sz w:val="24"/>
        </w:rPr>
        <w:t>通讯地址：上海市静安区新闸路</w:t>
      </w:r>
      <w:r>
        <w:rPr>
          <w:rFonts w:ascii="宋体" w:hAnsi="宋体" w:cs="宋体-WinCharSetFFFF-H" w:hint="eastAsia"/>
          <w:kern w:val="0"/>
          <w:sz w:val="24"/>
        </w:rPr>
        <w:t>669</w:t>
      </w:r>
      <w:r>
        <w:rPr>
          <w:rFonts w:ascii="宋体" w:hAnsi="宋体" w:cs="宋体-WinCharSetFFFF-H" w:hint="eastAsia"/>
          <w:kern w:val="0"/>
          <w:sz w:val="24"/>
        </w:rPr>
        <w:t>号博华广场</w:t>
      </w:r>
      <w:r>
        <w:rPr>
          <w:rFonts w:ascii="宋体" w:hAnsi="宋体" w:cs="宋体-WinCharSetFFFF-H" w:hint="eastAsia"/>
          <w:kern w:val="0"/>
          <w:sz w:val="24"/>
        </w:rPr>
        <w:t>19</w:t>
      </w:r>
      <w:r>
        <w:rPr>
          <w:rFonts w:ascii="宋体" w:hAnsi="宋体" w:cs="宋体-WinCharSetFFFF-H" w:hint="eastAsia"/>
          <w:kern w:val="0"/>
          <w:sz w:val="24"/>
        </w:rPr>
        <w:t>楼</w:t>
      </w:r>
    </w:p>
    <w:p w:rsidR="004B7B94" w:rsidRDefault="00E10EAD">
      <w:pPr>
        <w:spacing w:line="360" w:lineRule="auto"/>
        <w:ind w:firstLineChars="200" w:firstLine="480"/>
        <w:rPr>
          <w:rFonts w:ascii="宋体" w:hAnsi="宋体"/>
          <w:color w:val="000000"/>
          <w:kern w:val="0"/>
          <w:sz w:val="24"/>
        </w:rPr>
      </w:pPr>
      <w:r>
        <w:rPr>
          <w:rFonts w:ascii="宋体" w:hAnsi="宋体" w:cs="宋体-WinCharSetFFFF-H" w:hint="eastAsia"/>
          <w:kern w:val="0"/>
          <w:sz w:val="24"/>
        </w:rPr>
        <w:t>联系电话：</w:t>
      </w:r>
      <w:r>
        <w:rPr>
          <w:rFonts w:ascii="宋体" w:hAnsi="宋体" w:cs="宋体-WinCharSetFFFF-H" w:hint="eastAsia"/>
          <w:kern w:val="0"/>
          <w:sz w:val="24"/>
        </w:rPr>
        <w:t>021-38677336</w:t>
      </w:r>
    </w:p>
    <w:p w:rsidR="004B7B94" w:rsidRDefault="00E10EAD">
      <w:pPr>
        <w:pStyle w:val="1"/>
        <w:spacing w:before="0" w:after="0"/>
        <w:ind w:firstLineChars="200" w:firstLine="482"/>
      </w:pPr>
      <w:bookmarkStart w:id="17" w:name="_Toc466788852"/>
      <w:bookmarkStart w:id="18" w:name="_Toc125892438"/>
      <w:bookmarkStart w:id="19" w:name="_Toc30968"/>
      <w:bookmarkStart w:id="20" w:name="_Toc523829993"/>
      <w:bookmarkStart w:id="21" w:name="_Toc59200017"/>
      <w:bookmarkStart w:id="22" w:name="_Toc22454435"/>
      <w:bookmarkStart w:id="23" w:name="_Toc291504130"/>
      <w:bookmarkStart w:id="24" w:name="_Toc18872"/>
      <w:r>
        <w:rPr>
          <w:rFonts w:hint="eastAsia"/>
        </w:rPr>
        <w:t>二、基金托管协议的依据、目的和原则</w:t>
      </w:r>
      <w:bookmarkEnd w:id="17"/>
      <w:bookmarkEnd w:id="18"/>
      <w:bookmarkEnd w:id="19"/>
      <w:bookmarkEnd w:id="20"/>
      <w:bookmarkEnd w:id="21"/>
      <w:bookmarkEnd w:id="22"/>
      <w:bookmarkEnd w:id="23"/>
      <w:bookmarkEnd w:id="24"/>
    </w:p>
    <w:p w:rsidR="004B7B94" w:rsidRDefault="004B7B94">
      <w:pPr>
        <w:spacing w:line="360" w:lineRule="auto"/>
        <w:ind w:firstLineChars="200" w:firstLine="480"/>
        <w:rPr>
          <w:rFonts w:ascii="宋体" w:hAnsi="宋体"/>
          <w:color w:val="000000"/>
          <w:kern w:val="0"/>
          <w:sz w:val="24"/>
        </w:rPr>
      </w:pP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本协议依据《中华人民共和国证券投资基金法》（以下简称《基金法》）、《公开募集证券投资基金销售机构监督管理办法》（以下简称《销售办法》）、《公开募集证券投资基金运作管理办法》（以下简称《运作办法》）、</w:t>
      </w:r>
      <w:r>
        <w:rPr>
          <w:rFonts w:ascii="宋体" w:hAnsi="宋体" w:hint="eastAsia"/>
          <w:sz w:val="24"/>
        </w:rPr>
        <w:t>《公开募集证券投资基金信息披露管理办法》（以下简称《信息披露办法》）</w:t>
      </w:r>
      <w:r>
        <w:rPr>
          <w:rFonts w:ascii="宋体" w:hAnsi="宋体" w:hint="eastAsia"/>
          <w:color w:val="000000"/>
          <w:kern w:val="0"/>
          <w:sz w:val="24"/>
        </w:rPr>
        <w:t>、《公开募集开放式证券投资基金流动性风险管理规定》、《证券投资基金信息披露内容与格式准则第</w:t>
      </w:r>
      <w:r>
        <w:rPr>
          <w:rFonts w:ascii="宋体" w:hAnsi="宋体" w:hint="eastAsia"/>
          <w:color w:val="000000"/>
          <w:kern w:val="0"/>
          <w:sz w:val="24"/>
        </w:rPr>
        <w:t>7</w:t>
      </w:r>
      <w:r>
        <w:rPr>
          <w:rFonts w:ascii="宋体" w:hAnsi="宋体" w:hint="eastAsia"/>
          <w:color w:val="000000"/>
          <w:kern w:val="0"/>
          <w:sz w:val="24"/>
        </w:rPr>
        <w:t>号〈托管</w:t>
      </w:r>
      <w:r>
        <w:rPr>
          <w:rFonts w:ascii="宋体" w:hAnsi="宋体" w:hint="eastAsia"/>
          <w:color w:val="000000"/>
          <w:kern w:val="0"/>
          <w:sz w:val="24"/>
        </w:rPr>
        <w:t>协议的内容与格式〉》、《华商元亨灵活配置混合型证券投资基金基金合同》（以下简称《基金合同》）及其他有关规定订立。</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基金管理人和基金托管人遵循平等自愿、诚实信用、充分保护投资者合法利益的原则，经协商一致，签订本协议。</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除非本协议另有约定，本协议所使用的词语或简称与其在《基金合同》的释义部分具有相同含义。</w:t>
      </w:r>
    </w:p>
    <w:p w:rsidR="004B7B94" w:rsidRDefault="004B7B94">
      <w:pPr>
        <w:spacing w:line="360" w:lineRule="auto"/>
        <w:ind w:firstLineChars="200" w:firstLine="480"/>
        <w:rPr>
          <w:rFonts w:ascii="宋体" w:hAnsi="宋体"/>
          <w:color w:val="000000"/>
          <w:kern w:val="0"/>
          <w:sz w:val="24"/>
        </w:rPr>
      </w:pPr>
    </w:p>
    <w:p w:rsidR="004B7B94" w:rsidRDefault="00E10EAD">
      <w:pPr>
        <w:pStyle w:val="1"/>
        <w:spacing w:before="0" w:after="0"/>
        <w:ind w:firstLineChars="200" w:firstLine="482"/>
      </w:pPr>
      <w:bookmarkStart w:id="25" w:name="_Toc466788853"/>
      <w:bookmarkStart w:id="26" w:name="_Toc291504131"/>
      <w:bookmarkStart w:id="27" w:name="_Toc22454436"/>
      <w:bookmarkStart w:id="28" w:name="_Toc59200018"/>
      <w:bookmarkStart w:id="29" w:name="_Toc523829994"/>
      <w:bookmarkStart w:id="30" w:name="_Toc125892439"/>
      <w:bookmarkStart w:id="31" w:name="_Toc26847"/>
      <w:bookmarkStart w:id="32" w:name="_Toc7785"/>
      <w:r>
        <w:rPr>
          <w:rFonts w:hint="eastAsia"/>
        </w:rPr>
        <w:t>三、基金托管人对基金管理人</w:t>
      </w:r>
      <w:bookmarkEnd w:id="25"/>
      <w:r>
        <w:rPr>
          <w:rFonts w:hint="eastAsia"/>
        </w:rPr>
        <w:t>的业务监督和核查</w:t>
      </w:r>
      <w:bookmarkEnd w:id="26"/>
      <w:bookmarkEnd w:id="27"/>
      <w:bookmarkEnd w:id="28"/>
      <w:bookmarkEnd w:id="29"/>
      <w:bookmarkEnd w:id="30"/>
      <w:bookmarkEnd w:id="31"/>
      <w:bookmarkEnd w:id="32"/>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（一）基金托管人对基金管理人的投资行为行使监督权</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、基金托管人根据有关法律法规的规定及《基金合同》和本协议的约定，对基金的投资范围、投资对象进行监督。</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hint="eastAsia"/>
          <w:bCs/>
          <w:color w:val="000000"/>
          <w:sz w:val="24"/>
        </w:rPr>
        <w:t>本基金的投资范围</w:t>
      </w:r>
      <w:r>
        <w:rPr>
          <w:rFonts w:hint="eastAsia"/>
          <w:bCs/>
          <w:sz w:val="24"/>
        </w:rPr>
        <w:t>包括依法发行上市的股票（包括创业板、中小板、存托凭证和其他经中国证监会核准上市的股票）、债券（国债、金融债、企业债、公司债、央行票据、中期票据、短期融资</w:t>
      </w:r>
      <w:proofErr w:type="gramStart"/>
      <w:r>
        <w:rPr>
          <w:rFonts w:hint="eastAsia"/>
          <w:bCs/>
          <w:sz w:val="24"/>
        </w:rPr>
        <w:t>券</w:t>
      </w:r>
      <w:proofErr w:type="gramEnd"/>
      <w:r>
        <w:rPr>
          <w:rFonts w:hint="eastAsia"/>
          <w:bCs/>
          <w:sz w:val="24"/>
        </w:rPr>
        <w:t>、次级债、可转换债券、可交换债券、中小企业私募债等）、债券回购、银行存款、权证、股指期货、资产支持证券及法律法规或中国证监会允许基金投资的其他金融工具。</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hint="eastAsia"/>
          <w:bCs/>
          <w:color w:val="000000"/>
          <w:sz w:val="24"/>
        </w:rPr>
        <w:t>如法律法规或监管机构以后允许基金投资其他品种，基金管理人在履行适当程序后，可以将其纳入投资范围。</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、基金托管人根据有关法律法规的规定及《基金合同》和本协议的约定，对基金投资比例进行监督。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）按法律法</w:t>
      </w:r>
      <w:r>
        <w:rPr>
          <w:rFonts w:ascii="宋体" w:hAnsi="宋体" w:hint="eastAsia"/>
          <w:color w:val="000000"/>
          <w:kern w:val="0"/>
          <w:sz w:val="24"/>
        </w:rPr>
        <w:t>规的规定及《基金合同》的约定，本基金的投资资产配置比例为：</w:t>
      </w:r>
    </w:p>
    <w:p w:rsidR="004B7B94" w:rsidRDefault="00E10EAD">
      <w:pPr>
        <w:tabs>
          <w:tab w:val="left" w:pos="1260"/>
        </w:tabs>
        <w:spacing w:line="360" w:lineRule="auto"/>
        <w:ind w:firstLineChars="200" w:firstLine="480"/>
        <w:rPr>
          <w:rFonts w:ascii="宋体" w:hAnsi="宋体"/>
          <w:bCs/>
          <w:color w:val="000000"/>
          <w:kern w:val="0"/>
          <w:sz w:val="24"/>
        </w:rPr>
      </w:pPr>
      <w:r>
        <w:rPr>
          <w:rFonts w:ascii="宋体" w:hAnsi="宋体"/>
          <w:bCs/>
          <w:color w:val="000000"/>
          <w:kern w:val="0"/>
          <w:sz w:val="24"/>
        </w:rPr>
        <w:t>本基金投资于</w:t>
      </w:r>
      <w:r>
        <w:rPr>
          <w:rFonts w:hint="eastAsia"/>
          <w:bCs/>
          <w:sz w:val="24"/>
        </w:rPr>
        <w:t>股票资产占基金资产的比例为</w:t>
      </w:r>
      <w:r>
        <w:rPr>
          <w:bCs/>
          <w:sz w:val="24"/>
        </w:rPr>
        <w:t>0-95%</w:t>
      </w:r>
      <w:r>
        <w:rPr>
          <w:rFonts w:hint="eastAsia"/>
          <w:bCs/>
          <w:sz w:val="24"/>
        </w:rPr>
        <w:t>。每个交易日日终在扣除股指期货合约需缴纳的交易保证金后，现金或到期日在一年以内的政府债券不低于基金资产净值的</w:t>
      </w:r>
      <w:r>
        <w:rPr>
          <w:bCs/>
          <w:sz w:val="24"/>
        </w:rPr>
        <w:t>5%</w:t>
      </w:r>
      <w:r>
        <w:rPr>
          <w:rFonts w:ascii="宋体" w:hAnsi="宋体" w:hint="eastAsia"/>
          <w:sz w:val="24"/>
        </w:rPr>
        <w:t>，其中现金不包括结算备付金、存出保证金、应收申购款等</w:t>
      </w:r>
      <w:r>
        <w:rPr>
          <w:rFonts w:hint="eastAsia"/>
          <w:bCs/>
          <w:sz w:val="24"/>
        </w:rPr>
        <w:t>。权证、股指期货及其他金融工具的投资比例依照法律法规或监管机构的规定执行。</w:t>
      </w:r>
    </w:p>
    <w:p w:rsidR="004B7B94" w:rsidRDefault="00E10EAD">
      <w:pPr>
        <w:tabs>
          <w:tab w:val="left" w:pos="1260"/>
        </w:tabs>
        <w:spacing w:line="360" w:lineRule="auto"/>
        <w:ind w:firstLineChars="200" w:firstLine="480"/>
        <w:rPr>
          <w:rFonts w:ascii="宋体" w:hAnsi="宋体"/>
          <w:bCs/>
          <w:color w:val="000000"/>
          <w:kern w:val="0"/>
          <w:sz w:val="24"/>
        </w:rPr>
      </w:pPr>
      <w:r>
        <w:rPr>
          <w:rFonts w:ascii="宋体" w:hAnsi="宋体"/>
          <w:bCs/>
          <w:color w:val="000000"/>
          <w:kern w:val="0"/>
          <w:sz w:val="24"/>
        </w:rPr>
        <w:t>如法律法规或中国证监会变更投资品种的投资比例限制，基金管理人在履行适当程序后，可以调整上述投资品种的投资比例。</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）根据法律法规的规定及《基金合同》的约定，本基金</w:t>
      </w:r>
      <w:r>
        <w:rPr>
          <w:rFonts w:ascii="宋体" w:hAnsi="宋体" w:hint="eastAsia"/>
          <w:color w:val="000000"/>
          <w:kern w:val="0"/>
          <w:sz w:val="24"/>
        </w:rPr>
        <w:t>投资组合遵循以下投资限制：</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1</w:t>
      </w:r>
      <w:r>
        <w:rPr>
          <w:rFonts w:ascii="宋体" w:hAnsi="宋体" w:hint="eastAsia"/>
          <w:color w:val="000000"/>
          <w:kern w:val="0"/>
          <w:sz w:val="24"/>
        </w:rPr>
        <w:t>、本基金股票资产占基金资产的比例为</w:t>
      </w:r>
      <w:r>
        <w:rPr>
          <w:rFonts w:ascii="宋体" w:hAnsi="宋体" w:hint="eastAsia"/>
          <w:color w:val="000000"/>
          <w:kern w:val="0"/>
          <w:sz w:val="24"/>
        </w:rPr>
        <w:t>0-95%</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、本基金每个交易日日终在扣除股指期货合约需缴纳的交易保证金后，保持不低于基金资产净值</w:t>
      </w:r>
      <w:r>
        <w:rPr>
          <w:rFonts w:ascii="宋体" w:hAnsi="宋体" w:hint="eastAsia"/>
          <w:color w:val="000000"/>
          <w:kern w:val="0"/>
          <w:sz w:val="24"/>
        </w:rPr>
        <w:t>5%</w:t>
      </w:r>
      <w:r>
        <w:rPr>
          <w:rFonts w:ascii="宋体" w:hAnsi="宋体" w:hint="eastAsia"/>
          <w:color w:val="000000"/>
          <w:kern w:val="0"/>
          <w:sz w:val="24"/>
        </w:rPr>
        <w:t>的现金或者到期日在一年以内的政府债券</w:t>
      </w:r>
      <w:r>
        <w:rPr>
          <w:rFonts w:ascii="宋体" w:hAnsi="宋体" w:hint="eastAsia"/>
          <w:sz w:val="24"/>
        </w:rPr>
        <w:t>，其中现金不包括结算备付金、存出保证金、应收申购款等</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、本基金持有一家公司发行的证券，其市值不超过基金资产净值的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、本基金管理人管理的全部基金持有一家公司发行的证券，不超过该证券的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、本基金持有的全部权证，其市值不得超过基金资产净值的</w:t>
      </w:r>
      <w:r>
        <w:rPr>
          <w:rFonts w:ascii="宋体" w:hAnsi="宋体" w:hint="eastAsia"/>
          <w:color w:val="000000"/>
          <w:kern w:val="0"/>
          <w:sz w:val="24"/>
        </w:rPr>
        <w:t>3%</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6</w:t>
      </w:r>
      <w:r>
        <w:rPr>
          <w:rFonts w:ascii="宋体" w:hAnsi="宋体" w:hint="eastAsia"/>
          <w:color w:val="000000"/>
          <w:kern w:val="0"/>
          <w:sz w:val="24"/>
        </w:rPr>
        <w:t>、本基金管理人管理的全部基金持有的同一权</w:t>
      </w:r>
      <w:r>
        <w:rPr>
          <w:rFonts w:ascii="宋体" w:hAnsi="宋体" w:hint="eastAsia"/>
          <w:color w:val="000000"/>
          <w:kern w:val="0"/>
          <w:sz w:val="24"/>
        </w:rPr>
        <w:t>证，不得超过该权证的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7</w:t>
      </w:r>
      <w:r>
        <w:rPr>
          <w:rFonts w:ascii="宋体" w:hAnsi="宋体" w:hint="eastAsia"/>
          <w:color w:val="000000"/>
          <w:kern w:val="0"/>
          <w:sz w:val="24"/>
        </w:rPr>
        <w:t>、本基金在任何交易日买入权证的总金额，不得超过上一交易日基金资产净值的</w:t>
      </w:r>
      <w:r>
        <w:rPr>
          <w:rFonts w:ascii="宋体" w:hAnsi="宋体" w:hint="eastAsia"/>
          <w:color w:val="000000"/>
          <w:kern w:val="0"/>
          <w:sz w:val="24"/>
        </w:rPr>
        <w:t>0.5%</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8</w:t>
      </w:r>
      <w:r>
        <w:rPr>
          <w:rFonts w:ascii="宋体" w:hAnsi="宋体" w:hint="eastAsia"/>
          <w:color w:val="000000"/>
          <w:kern w:val="0"/>
          <w:sz w:val="24"/>
        </w:rPr>
        <w:t>、本基金投资于同一原始权益人的各类资产支持证券的比例，不得超过基金资产净值的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9</w:t>
      </w:r>
      <w:r>
        <w:rPr>
          <w:rFonts w:ascii="宋体" w:hAnsi="宋体" w:hint="eastAsia"/>
          <w:color w:val="000000"/>
          <w:kern w:val="0"/>
          <w:sz w:val="24"/>
        </w:rPr>
        <w:t>、本基金持有的全部资产支持证券，其市值不得超过基金资产净值的</w:t>
      </w:r>
      <w:r>
        <w:rPr>
          <w:rFonts w:ascii="宋体" w:hAnsi="宋体" w:hint="eastAsia"/>
          <w:color w:val="000000"/>
          <w:kern w:val="0"/>
          <w:sz w:val="24"/>
        </w:rPr>
        <w:t>20%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10</w:t>
      </w:r>
      <w:r>
        <w:rPr>
          <w:rFonts w:ascii="宋体" w:hAnsi="宋体" w:hint="eastAsia"/>
          <w:color w:val="000000"/>
          <w:kern w:val="0"/>
          <w:sz w:val="24"/>
        </w:rPr>
        <w:t>、本基金持有的同一</w:t>
      </w:r>
      <w:r>
        <w:rPr>
          <w:rFonts w:ascii="宋体" w:hAnsi="宋体" w:hint="eastAsia"/>
          <w:color w:val="000000"/>
          <w:kern w:val="0"/>
          <w:sz w:val="24"/>
        </w:rPr>
        <w:t>(</w:t>
      </w:r>
      <w:r>
        <w:rPr>
          <w:rFonts w:ascii="宋体" w:hAnsi="宋体" w:hint="eastAsia"/>
          <w:color w:val="000000"/>
          <w:kern w:val="0"/>
          <w:sz w:val="24"/>
        </w:rPr>
        <w:t>指同一信用级别</w:t>
      </w:r>
      <w:r>
        <w:rPr>
          <w:rFonts w:ascii="宋体" w:hAnsi="宋体" w:hint="eastAsia"/>
          <w:color w:val="000000"/>
          <w:kern w:val="0"/>
          <w:sz w:val="24"/>
        </w:rPr>
        <w:t>)</w:t>
      </w:r>
      <w:r>
        <w:rPr>
          <w:rFonts w:ascii="宋体" w:hAnsi="宋体" w:hint="eastAsia"/>
          <w:color w:val="000000"/>
          <w:kern w:val="0"/>
          <w:sz w:val="24"/>
        </w:rPr>
        <w:t>资产支持证券的比例，不得超过该资产支持证券规模的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11</w:t>
      </w:r>
      <w:r>
        <w:rPr>
          <w:rFonts w:ascii="宋体" w:hAnsi="宋体" w:hint="eastAsia"/>
          <w:color w:val="000000"/>
          <w:kern w:val="0"/>
          <w:sz w:val="24"/>
        </w:rPr>
        <w:t>、本基金管理人管理的全部基金投资于同一原始权益人的各类资产支持证券，不得超过其各类资产支持证券合计规模的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12</w:t>
      </w:r>
      <w:r>
        <w:rPr>
          <w:rFonts w:ascii="宋体" w:hAnsi="宋体" w:hint="eastAsia"/>
          <w:color w:val="000000"/>
          <w:kern w:val="0"/>
          <w:sz w:val="24"/>
        </w:rPr>
        <w:t>、本基金应投资于信用级别评级为</w:t>
      </w:r>
      <w:r>
        <w:rPr>
          <w:rFonts w:ascii="宋体" w:hAnsi="宋体" w:hint="eastAsia"/>
          <w:color w:val="000000"/>
          <w:kern w:val="0"/>
          <w:sz w:val="24"/>
        </w:rPr>
        <w:t>BBB</w:t>
      </w:r>
      <w:r>
        <w:rPr>
          <w:rFonts w:ascii="宋体" w:hAnsi="宋体" w:hint="eastAsia"/>
          <w:color w:val="000000"/>
          <w:kern w:val="0"/>
          <w:sz w:val="24"/>
        </w:rPr>
        <w:t>以上</w:t>
      </w:r>
      <w:r>
        <w:rPr>
          <w:rFonts w:ascii="宋体" w:hAnsi="宋体" w:hint="eastAsia"/>
          <w:color w:val="000000"/>
          <w:kern w:val="0"/>
          <w:sz w:val="24"/>
        </w:rPr>
        <w:t>(</w:t>
      </w:r>
      <w:r>
        <w:rPr>
          <w:rFonts w:ascii="宋体" w:hAnsi="宋体" w:hint="eastAsia"/>
          <w:color w:val="000000"/>
          <w:kern w:val="0"/>
          <w:sz w:val="24"/>
        </w:rPr>
        <w:t>含</w:t>
      </w:r>
      <w:r>
        <w:rPr>
          <w:rFonts w:ascii="宋体" w:hAnsi="宋体" w:hint="eastAsia"/>
          <w:color w:val="000000"/>
          <w:kern w:val="0"/>
          <w:sz w:val="24"/>
        </w:rPr>
        <w:t>BBB)</w:t>
      </w:r>
      <w:r>
        <w:rPr>
          <w:rFonts w:ascii="宋体" w:hAnsi="宋体" w:hint="eastAsia"/>
          <w:color w:val="000000"/>
          <w:kern w:val="0"/>
          <w:sz w:val="24"/>
        </w:rPr>
        <w:t>的资产支持证券。基金持有资产支持证券期间，如果其信用等级下降、不再符合投资标准，应在评级报告发布之日起</w:t>
      </w:r>
      <w:r>
        <w:rPr>
          <w:rFonts w:ascii="宋体" w:hAnsi="宋体" w:hint="eastAsia"/>
          <w:color w:val="000000"/>
          <w:kern w:val="0"/>
          <w:sz w:val="24"/>
        </w:rPr>
        <w:t>3</w:t>
      </w:r>
      <w:r>
        <w:rPr>
          <w:rFonts w:ascii="宋体" w:hAnsi="宋体" w:hint="eastAsia"/>
          <w:color w:val="000000"/>
          <w:kern w:val="0"/>
          <w:sz w:val="24"/>
        </w:rPr>
        <w:t>个月内予以全部卖出；</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13</w:t>
      </w:r>
      <w:r>
        <w:rPr>
          <w:rFonts w:ascii="宋体" w:hAnsi="宋体" w:hint="eastAsia"/>
          <w:color w:val="000000"/>
          <w:kern w:val="0"/>
          <w:sz w:val="24"/>
        </w:rPr>
        <w:t>、基金财产参与股票发行申购，本基金所申报的金额不超过本基金的总资产，本基金所申报的股票数量不超过拟发行股票公司本次发行股票的总量；</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14</w:t>
      </w:r>
      <w:r>
        <w:rPr>
          <w:rFonts w:ascii="宋体" w:hAnsi="宋体" w:hint="eastAsia"/>
          <w:color w:val="000000"/>
          <w:kern w:val="0"/>
          <w:sz w:val="24"/>
        </w:rPr>
        <w:t>、本基金进入全国银行间同业市场进行债券回购的资金余额不得超过基金资产净值的</w:t>
      </w:r>
      <w:r>
        <w:rPr>
          <w:rFonts w:ascii="宋体" w:hAnsi="宋体" w:hint="eastAsia"/>
          <w:color w:val="000000"/>
          <w:kern w:val="0"/>
          <w:sz w:val="24"/>
        </w:rPr>
        <w:t>40%</w:t>
      </w:r>
      <w:r>
        <w:rPr>
          <w:rFonts w:ascii="宋体" w:hAnsi="宋体" w:hint="eastAsia"/>
          <w:color w:val="000000"/>
          <w:kern w:val="0"/>
          <w:sz w:val="24"/>
        </w:rPr>
        <w:t>；在全国银行间同业市场中的债券回购最长期限为</w:t>
      </w:r>
      <w:r>
        <w:rPr>
          <w:rFonts w:ascii="宋体" w:hAnsi="宋体" w:hint="eastAsia"/>
          <w:color w:val="000000"/>
          <w:kern w:val="0"/>
          <w:sz w:val="24"/>
        </w:rPr>
        <w:t>1</w:t>
      </w:r>
      <w:r>
        <w:rPr>
          <w:rFonts w:ascii="宋体" w:hAnsi="宋体" w:hint="eastAsia"/>
          <w:color w:val="000000"/>
          <w:kern w:val="0"/>
          <w:sz w:val="24"/>
        </w:rPr>
        <w:t>年，债券回购到期后</w:t>
      </w:r>
      <w:proofErr w:type="gramStart"/>
      <w:r>
        <w:rPr>
          <w:rFonts w:ascii="宋体" w:hAnsi="宋体" w:hint="eastAsia"/>
          <w:color w:val="000000"/>
          <w:kern w:val="0"/>
          <w:sz w:val="24"/>
        </w:rPr>
        <w:t>不</w:t>
      </w:r>
      <w:proofErr w:type="gramEnd"/>
      <w:r>
        <w:rPr>
          <w:rFonts w:ascii="宋体" w:hAnsi="宋体" w:hint="eastAsia"/>
          <w:color w:val="000000"/>
          <w:kern w:val="0"/>
          <w:sz w:val="24"/>
        </w:rPr>
        <w:t>展期；</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15</w:t>
      </w:r>
      <w:r>
        <w:rPr>
          <w:rFonts w:ascii="宋体" w:hAnsi="宋体" w:hint="eastAsia"/>
          <w:color w:val="000000"/>
          <w:kern w:val="0"/>
          <w:sz w:val="24"/>
        </w:rPr>
        <w:t>、本基金的基金资产总值不得超过基</w:t>
      </w:r>
      <w:r>
        <w:rPr>
          <w:rFonts w:ascii="宋体" w:hAnsi="宋体" w:hint="eastAsia"/>
          <w:color w:val="000000"/>
          <w:kern w:val="0"/>
          <w:sz w:val="24"/>
        </w:rPr>
        <w:t>金资产净值的</w:t>
      </w:r>
      <w:r>
        <w:rPr>
          <w:rFonts w:ascii="宋体" w:hAnsi="宋体" w:hint="eastAsia"/>
          <w:color w:val="000000"/>
          <w:kern w:val="0"/>
          <w:sz w:val="24"/>
        </w:rPr>
        <w:t>140%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16</w:t>
      </w:r>
      <w:r>
        <w:rPr>
          <w:rFonts w:ascii="宋体" w:hAnsi="宋体" w:hint="eastAsia"/>
          <w:color w:val="000000"/>
          <w:kern w:val="0"/>
          <w:sz w:val="24"/>
        </w:rPr>
        <w:t>、本基金仅在投资股指期货时，遵循以下中国证监会规定的投资限制：</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）本基金在任何交易日日终，持有的买入股指期货合约价值不得超过基金资产净值的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）本基金在任何交易日日终，持有的买入股指期货合约价值和有价证券市值之和，不得超过基金资产净值的</w:t>
      </w:r>
      <w:r>
        <w:rPr>
          <w:rFonts w:ascii="宋体" w:hAnsi="宋体" w:hint="eastAsia"/>
          <w:color w:val="000000"/>
          <w:kern w:val="0"/>
          <w:sz w:val="24"/>
        </w:rPr>
        <w:t>95%</w:t>
      </w:r>
      <w:r>
        <w:rPr>
          <w:rFonts w:ascii="宋体" w:hAnsi="宋体" w:hint="eastAsia"/>
          <w:color w:val="000000"/>
          <w:kern w:val="0"/>
          <w:sz w:val="24"/>
        </w:rPr>
        <w:t>。其中，有价证券指股票、债券（不含到期日在一年以内的政府债券）、权证、资产支持证券、买入返售金融资产（不含质押式回购）等；</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）本基金在任何交易日日终，持有的卖出股指期货合约价值不得超过基金持有的股票总市值的</w:t>
      </w:r>
      <w:r>
        <w:rPr>
          <w:rFonts w:ascii="宋体" w:hAnsi="宋体" w:hint="eastAsia"/>
          <w:color w:val="000000"/>
          <w:kern w:val="0"/>
          <w:sz w:val="24"/>
        </w:rPr>
        <w:t>20%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本基金管理人应</w:t>
      </w:r>
      <w:r>
        <w:rPr>
          <w:rFonts w:ascii="宋体" w:hAnsi="宋体" w:hint="eastAsia"/>
          <w:color w:val="000000"/>
          <w:kern w:val="0"/>
          <w:sz w:val="24"/>
        </w:rPr>
        <w:t>当按照中国金融期货交易所要求的内容、格式与时限向交易所报告所交易和持有的卖出期货合约情况、交易目的及对应的证券资产情况等。</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）本基金所持有的股票市值和买入、卖出股指期货合约价值，合计（轧差计算）占基金资产的比例为</w:t>
      </w:r>
      <w:r>
        <w:rPr>
          <w:rFonts w:ascii="宋体" w:hAnsi="宋体" w:hint="eastAsia"/>
          <w:color w:val="000000"/>
          <w:kern w:val="0"/>
          <w:sz w:val="24"/>
        </w:rPr>
        <w:t>0</w:t>
      </w:r>
      <w:r>
        <w:rPr>
          <w:rFonts w:ascii="宋体" w:hAnsi="宋体" w:hint="eastAsia"/>
          <w:color w:val="000000"/>
          <w:kern w:val="0"/>
          <w:sz w:val="24"/>
        </w:rPr>
        <w:t>～</w:t>
      </w:r>
      <w:r>
        <w:rPr>
          <w:rFonts w:ascii="宋体" w:hAnsi="宋体" w:hint="eastAsia"/>
          <w:color w:val="000000"/>
          <w:kern w:val="0"/>
          <w:sz w:val="24"/>
        </w:rPr>
        <w:t>95%</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）本基金在任何交易日内交易（不包括平仓）的股指期货合约的成交金额不得超过上一交易日基金资产净值的</w:t>
      </w:r>
      <w:r>
        <w:rPr>
          <w:rFonts w:ascii="宋体" w:hAnsi="宋体" w:hint="eastAsia"/>
          <w:color w:val="000000"/>
          <w:kern w:val="0"/>
          <w:sz w:val="24"/>
        </w:rPr>
        <w:t>20%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17</w:t>
      </w:r>
      <w:r>
        <w:rPr>
          <w:rFonts w:ascii="宋体" w:hAnsi="宋体" w:hint="eastAsia"/>
          <w:color w:val="000000"/>
          <w:kern w:val="0"/>
          <w:sz w:val="24"/>
        </w:rPr>
        <w:t>、本基金持有单只中小企业私募债券，其市值不得超过本基金资产净值的</w:t>
      </w:r>
      <w:r>
        <w:rPr>
          <w:rFonts w:ascii="宋体" w:hAnsi="宋体" w:hint="eastAsia"/>
          <w:color w:val="000000"/>
          <w:kern w:val="0"/>
          <w:sz w:val="24"/>
        </w:rPr>
        <w:t>10%</w:t>
      </w:r>
      <w:r>
        <w:rPr>
          <w:rFonts w:ascii="宋体" w:hAnsi="宋体" w:hint="eastAsia"/>
          <w:color w:val="000000"/>
          <w:kern w:val="0"/>
          <w:sz w:val="24"/>
        </w:rPr>
        <w:t>；</w:t>
      </w:r>
    </w:p>
    <w:p w:rsidR="004B7B94" w:rsidRDefault="00E10EAD">
      <w:pPr>
        <w:spacing w:line="360" w:lineRule="auto"/>
        <w:ind w:firstLineChars="200" w:firstLine="480"/>
        <w:rPr>
          <w:bCs/>
          <w:sz w:val="24"/>
        </w:rPr>
      </w:pPr>
      <w:r>
        <w:rPr>
          <w:rFonts w:ascii="宋体" w:hAnsi="宋体" w:hint="eastAsia"/>
          <w:color w:val="000000"/>
          <w:kern w:val="0"/>
          <w:sz w:val="24"/>
        </w:rPr>
        <w:lastRenderedPageBreak/>
        <w:t>18</w:t>
      </w:r>
      <w:r>
        <w:rPr>
          <w:rFonts w:ascii="宋体" w:hAnsi="宋体" w:hint="eastAsia"/>
          <w:color w:val="000000"/>
          <w:kern w:val="0"/>
          <w:sz w:val="24"/>
        </w:rPr>
        <w:t>、</w:t>
      </w:r>
      <w:r>
        <w:rPr>
          <w:rFonts w:hint="eastAsia"/>
          <w:sz w:val="24"/>
        </w:rPr>
        <w:t>本基金管理人管理的且由本基金托管人托管的全部开放式基金（包括开放式基金以及处于开放期的定期开</w:t>
      </w:r>
      <w:r>
        <w:rPr>
          <w:rFonts w:hint="eastAsia"/>
          <w:sz w:val="24"/>
        </w:rPr>
        <w:t>放基金）持有一家上市公司发行的可流通股票，不得超过该上市公司可流通股票的</w:t>
      </w:r>
      <w:r>
        <w:rPr>
          <w:rFonts w:hint="eastAsia"/>
          <w:sz w:val="24"/>
        </w:rPr>
        <w:t>15%</w:t>
      </w:r>
      <w:r>
        <w:rPr>
          <w:rFonts w:hint="eastAsia"/>
          <w:sz w:val="24"/>
        </w:rPr>
        <w:t>；本基金管理人管理的且由本基金托管人托管的全部投资组合持有一家上市公司发行的可流通股票，不得超过该上市公司可流通股票的</w:t>
      </w:r>
      <w:r>
        <w:rPr>
          <w:rFonts w:hint="eastAsia"/>
          <w:sz w:val="24"/>
        </w:rPr>
        <w:t>30%</w:t>
      </w:r>
      <w:r>
        <w:rPr>
          <w:rFonts w:hint="eastAsia"/>
          <w:sz w:val="24"/>
        </w:rPr>
        <w:t>；</w:t>
      </w:r>
      <w:r>
        <w:rPr>
          <w:rFonts w:hint="eastAsia"/>
          <w:sz w:val="24"/>
        </w:rPr>
        <w:t xml:space="preserve"> </w:t>
      </w:r>
    </w:p>
    <w:p w:rsidR="004B7B94" w:rsidRDefault="00E10EAD">
      <w:pPr>
        <w:spacing w:line="360" w:lineRule="auto"/>
        <w:ind w:firstLineChars="200" w:firstLine="480"/>
        <w:rPr>
          <w:bCs/>
          <w:sz w:val="24"/>
        </w:rPr>
      </w:pPr>
      <w:r>
        <w:rPr>
          <w:rFonts w:hint="eastAsia"/>
          <w:bCs/>
          <w:sz w:val="24"/>
        </w:rPr>
        <w:t>19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，因证券市场波动、上市公司股票停牌、基金规模变动等基金管理人之外的因素致使基金不符合前述比例限制的，基金管理人不得主动新增流动性受限资产的投资；</w:t>
      </w:r>
    </w:p>
    <w:p w:rsidR="004B7B94" w:rsidRDefault="00E10EAD">
      <w:pPr>
        <w:tabs>
          <w:tab w:val="left" w:pos="1260"/>
        </w:tabs>
        <w:spacing w:line="360" w:lineRule="auto"/>
        <w:ind w:firstLineChars="200" w:firstLine="480"/>
        <w:rPr>
          <w:rFonts w:ascii="宋体" w:hAnsi="宋体"/>
          <w:color w:val="000000"/>
          <w:kern w:val="0"/>
          <w:sz w:val="24"/>
        </w:rPr>
      </w:pPr>
      <w:r>
        <w:rPr>
          <w:rFonts w:hint="eastAsia"/>
          <w:bCs/>
          <w:sz w:val="24"/>
        </w:rPr>
        <w:t>20</w:t>
      </w:r>
      <w:r>
        <w:rPr>
          <w:rFonts w:hint="eastAsia"/>
          <w:bCs/>
          <w:sz w:val="24"/>
        </w:rPr>
        <w:t>、本基金持有的所有流通受限证券，其公允价值不得超过本基金资产净值的</w:t>
      </w:r>
      <w:r>
        <w:rPr>
          <w:bCs/>
          <w:sz w:val="24"/>
        </w:rPr>
        <w:t>15</w:t>
      </w:r>
      <w:r>
        <w:rPr>
          <w:rFonts w:hint="eastAsia"/>
          <w:bCs/>
          <w:sz w:val="24"/>
        </w:rPr>
        <w:t>%</w:t>
      </w:r>
      <w:r>
        <w:rPr>
          <w:rFonts w:hint="eastAsia"/>
          <w:bCs/>
          <w:sz w:val="24"/>
        </w:rPr>
        <w:t>；本基金</w:t>
      </w:r>
      <w:r>
        <w:rPr>
          <w:rFonts w:hint="eastAsia"/>
          <w:bCs/>
          <w:sz w:val="24"/>
        </w:rPr>
        <w:t>持有的单一流通受限证券，其公允价值不得超过本基金资产净值的</w:t>
      </w:r>
      <w:r>
        <w:rPr>
          <w:rFonts w:hint="eastAsia"/>
          <w:bCs/>
          <w:sz w:val="24"/>
        </w:rPr>
        <w:t>10%</w:t>
      </w:r>
      <w:r>
        <w:rPr>
          <w:rFonts w:hint="eastAsia"/>
          <w:bCs/>
          <w:sz w:val="24"/>
        </w:rPr>
        <w:t>；</w:t>
      </w:r>
    </w:p>
    <w:p w:rsidR="004B7B94" w:rsidRDefault="00E10EAD">
      <w:pPr>
        <w:spacing w:line="360" w:lineRule="auto"/>
        <w:ind w:firstLineChars="200" w:firstLine="480"/>
        <w:rPr>
          <w:sz w:val="24"/>
        </w:rPr>
      </w:pPr>
      <w:r>
        <w:rPr>
          <w:rFonts w:hint="eastAsia"/>
          <w:bCs/>
          <w:sz w:val="24"/>
        </w:rPr>
        <w:t>21</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r>
        <w:rPr>
          <w:sz w:val="24"/>
        </w:rPr>
        <w:t>。</w:t>
      </w:r>
    </w:p>
    <w:p w:rsidR="004B7B94" w:rsidRDefault="00E10EAD">
      <w:pPr>
        <w:spacing w:line="360" w:lineRule="auto"/>
        <w:ind w:firstLineChars="200" w:firstLine="480"/>
        <w:rPr>
          <w:sz w:val="24"/>
        </w:rPr>
      </w:pPr>
      <w:r>
        <w:rPr>
          <w:rFonts w:hint="eastAsia"/>
          <w:bCs/>
          <w:sz w:val="24"/>
        </w:rPr>
        <w:t>22</w:t>
      </w:r>
      <w:r>
        <w:rPr>
          <w:rFonts w:hint="eastAsia"/>
          <w:bCs/>
          <w:sz w:val="24"/>
        </w:rPr>
        <w:t>、</w:t>
      </w:r>
      <w:r>
        <w:rPr>
          <w:rFonts w:hint="eastAsia"/>
          <w:sz w:val="24"/>
        </w:rPr>
        <w:t>本基金投资存托凭证的比例限制依照境内上市交易的股票执行，与境内上市交易的股票合并计算；</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基金管理人应当自基金合同生效之日起</w:t>
      </w:r>
      <w:r>
        <w:rPr>
          <w:rFonts w:ascii="宋体" w:hAnsi="宋体" w:hint="eastAsia"/>
          <w:color w:val="000000"/>
          <w:kern w:val="0"/>
          <w:sz w:val="24"/>
        </w:rPr>
        <w:t>6</w:t>
      </w:r>
      <w:r>
        <w:rPr>
          <w:rFonts w:ascii="宋体" w:hAnsi="宋体" w:hint="eastAsia"/>
          <w:color w:val="000000"/>
          <w:kern w:val="0"/>
          <w:sz w:val="24"/>
        </w:rPr>
        <w:t>个月内使基金的投资组合比例符合基金合同的有关约定。在上述期间内，本基金的投资范围、投资策略应当符合基金合同的约定。基金托管人对基金的投资的监督与检查自基金合同生效之日</w:t>
      </w:r>
      <w:r>
        <w:rPr>
          <w:rFonts w:ascii="宋体" w:hAnsi="宋体" w:hint="eastAsia"/>
          <w:color w:val="000000"/>
          <w:kern w:val="0"/>
          <w:sz w:val="24"/>
        </w:rPr>
        <w:t>起开始。</w:t>
      </w:r>
    </w:p>
    <w:p w:rsidR="004B7B94" w:rsidRDefault="00E10EAD">
      <w:pPr>
        <w:tabs>
          <w:tab w:val="left" w:pos="1260"/>
        </w:tabs>
        <w:spacing w:line="360" w:lineRule="auto"/>
        <w:ind w:firstLineChars="200" w:firstLine="480"/>
        <w:rPr>
          <w:rFonts w:ascii="宋体" w:hAnsi="宋体"/>
          <w:bCs/>
          <w:color w:val="000000"/>
          <w:kern w:val="0"/>
          <w:sz w:val="24"/>
        </w:rPr>
      </w:pPr>
      <w:r>
        <w:rPr>
          <w:rFonts w:ascii="宋体" w:hAnsi="宋体"/>
          <w:bCs/>
          <w:color w:val="000000"/>
          <w:kern w:val="0"/>
          <w:sz w:val="24"/>
        </w:rPr>
        <w:t>如果法律法规或监管部门对基金合同约定投资组合比例限制进行变更的，以变更后的规定为准。法律法规或监管部门取消上述限制，如适用于本基金，则本基金投资不再受相关限制</w:t>
      </w:r>
      <w:r>
        <w:rPr>
          <w:rFonts w:ascii="宋体" w:hAnsi="宋体" w:hint="eastAsia"/>
          <w:bCs/>
          <w:color w:val="000000"/>
          <w:kern w:val="0"/>
          <w:sz w:val="24"/>
        </w:rPr>
        <w:t>，但须提前公告，不需要经基金份额持有人大会审议</w:t>
      </w:r>
      <w:r>
        <w:rPr>
          <w:rFonts w:ascii="宋体" w:hAnsi="宋体"/>
          <w:bCs/>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）法规允许的基金投资比例调整期限</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除上述第（</w:t>
      </w:r>
      <w:r>
        <w:rPr>
          <w:rFonts w:ascii="宋体" w:hAnsi="宋体" w:hint="eastAsia"/>
          <w:color w:val="000000"/>
          <w:kern w:val="0"/>
          <w:sz w:val="24"/>
        </w:rPr>
        <w:t>2</w:t>
      </w:r>
      <w:r>
        <w:rPr>
          <w:rFonts w:ascii="宋体" w:hAnsi="宋体" w:hint="eastAsia"/>
          <w:color w:val="000000"/>
          <w:kern w:val="0"/>
          <w:sz w:val="24"/>
        </w:rPr>
        <w:t>）款第</w:t>
      </w:r>
      <w:r>
        <w:rPr>
          <w:rFonts w:ascii="宋体" w:hAnsi="宋体" w:hint="eastAsia"/>
          <w:color w:val="000000"/>
          <w:kern w:val="0"/>
          <w:sz w:val="24"/>
        </w:rPr>
        <w:t>2</w:t>
      </w:r>
      <w:r>
        <w:rPr>
          <w:rFonts w:ascii="宋体" w:hAnsi="宋体" w:hint="eastAsia"/>
          <w:color w:val="000000"/>
          <w:kern w:val="0"/>
          <w:sz w:val="24"/>
        </w:rPr>
        <w:t>、</w:t>
      </w:r>
      <w:r>
        <w:rPr>
          <w:rFonts w:ascii="宋体" w:hAnsi="宋体" w:hint="eastAsia"/>
          <w:color w:val="000000"/>
          <w:kern w:val="0"/>
          <w:sz w:val="24"/>
        </w:rPr>
        <w:t>12</w:t>
      </w:r>
      <w:r>
        <w:rPr>
          <w:rFonts w:ascii="宋体" w:hAnsi="宋体" w:hint="eastAsia"/>
          <w:color w:val="000000"/>
          <w:kern w:val="0"/>
          <w:sz w:val="24"/>
        </w:rPr>
        <w:t>、</w:t>
      </w:r>
      <w:r>
        <w:rPr>
          <w:rFonts w:ascii="宋体" w:hAnsi="宋体" w:hint="eastAsia"/>
          <w:color w:val="000000"/>
          <w:kern w:val="0"/>
          <w:sz w:val="24"/>
        </w:rPr>
        <w:t>19</w:t>
      </w:r>
      <w:r>
        <w:rPr>
          <w:rFonts w:ascii="宋体" w:hAnsi="宋体" w:hint="eastAsia"/>
          <w:color w:val="000000"/>
          <w:kern w:val="0"/>
          <w:sz w:val="24"/>
        </w:rPr>
        <w:t>、</w:t>
      </w:r>
      <w:r>
        <w:rPr>
          <w:rFonts w:ascii="宋体" w:hAnsi="宋体" w:hint="eastAsia"/>
          <w:color w:val="000000"/>
          <w:kern w:val="0"/>
          <w:sz w:val="24"/>
        </w:rPr>
        <w:t>21</w:t>
      </w:r>
      <w:r>
        <w:rPr>
          <w:rFonts w:ascii="宋体" w:hAnsi="宋体" w:hint="eastAsia"/>
          <w:color w:val="000000"/>
          <w:kern w:val="0"/>
          <w:sz w:val="24"/>
        </w:rPr>
        <w:t>项外，因证券、期货市场波动、证券发行人合并、基金规模变动等基金管理人之外的因素致使基金投资比例不符合上述规定投资比例的，基金管理人应当在</w:t>
      </w:r>
      <w:r>
        <w:rPr>
          <w:rFonts w:ascii="宋体" w:hAnsi="宋体" w:hint="eastAsia"/>
          <w:color w:val="000000"/>
          <w:kern w:val="0"/>
          <w:sz w:val="24"/>
        </w:rPr>
        <w:t>10</w:t>
      </w:r>
      <w:r>
        <w:rPr>
          <w:rFonts w:ascii="宋体" w:hAnsi="宋体" w:hint="eastAsia"/>
          <w:color w:val="000000"/>
          <w:kern w:val="0"/>
          <w:sz w:val="24"/>
        </w:rPr>
        <w:t>个交易日内进行调整。法律法规或监管部门另有规定的，从其规定。</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）相关法律</w:t>
      </w:r>
      <w:r>
        <w:rPr>
          <w:rFonts w:ascii="宋体" w:hAnsi="宋体" w:hint="eastAsia"/>
          <w:color w:val="000000"/>
          <w:kern w:val="0"/>
          <w:sz w:val="24"/>
        </w:rPr>
        <w:t>、法规或部门规章规定的其他比例限制。</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基金托管人依照上述规定对本基金的投资组合限制及调整期限进行监督。</w:t>
      </w:r>
    </w:p>
    <w:p w:rsidR="004B7B94" w:rsidRDefault="00E10EAD">
      <w:pPr>
        <w:spacing w:line="360" w:lineRule="auto"/>
        <w:ind w:firstLineChars="200" w:firstLine="482"/>
        <w:rPr>
          <w:rFonts w:ascii="宋体" w:hAnsi="宋体"/>
          <w:b/>
          <w:bCs/>
          <w:color w:val="000000"/>
          <w:sz w:val="24"/>
        </w:rPr>
      </w:pPr>
      <w:r>
        <w:rPr>
          <w:rFonts w:ascii="宋体" w:hAnsi="宋体" w:hint="eastAsia"/>
          <w:b/>
          <w:bCs/>
          <w:color w:val="000000"/>
          <w:sz w:val="24"/>
        </w:rPr>
        <w:t>3</w:t>
      </w:r>
      <w:r>
        <w:rPr>
          <w:rFonts w:ascii="宋体" w:hAnsi="宋体" w:hint="eastAsia"/>
          <w:b/>
          <w:bCs/>
          <w:color w:val="000000"/>
          <w:sz w:val="24"/>
        </w:rPr>
        <w:t>、基金托管人</w:t>
      </w:r>
      <w:bookmarkStart w:id="33" w:name="OLE_LINK1"/>
      <w:r>
        <w:rPr>
          <w:rFonts w:ascii="宋体" w:hAnsi="宋体" w:hint="eastAsia"/>
          <w:b/>
          <w:bCs/>
          <w:color w:val="000000"/>
          <w:sz w:val="24"/>
        </w:rPr>
        <w:t>根据有关法律、法规的规定及基金合同和本协议的约定，</w:t>
      </w:r>
      <w:bookmarkEnd w:id="33"/>
      <w:r>
        <w:rPr>
          <w:rFonts w:ascii="宋体" w:hAnsi="宋体" w:hint="eastAsia"/>
          <w:b/>
          <w:bCs/>
          <w:color w:val="000000"/>
          <w:sz w:val="24"/>
        </w:rPr>
        <w:t>对基金投资禁止行为进行监督。基金财产不得用于下列投资或者活动。</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）承销证券；</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w:t>
      </w:r>
      <w:r>
        <w:rPr>
          <w:rFonts w:ascii="宋体" w:hAnsi="宋体" w:hint="eastAsia"/>
          <w:bCs/>
          <w:color w:val="000000"/>
          <w:kern w:val="0"/>
          <w:sz w:val="24"/>
        </w:rPr>
        <w:t>违反规定</w:t>
      </w:r>
      <w:r>
        <w:rPr>
          <w:rFonts w:ascii="宋体" w:hAnsi="宋体" w:hint="eastAsia"/>
          <w:color w:val="000000"/>
          <w:kern w:val="0"/>
          <w:sz w:val="24"/>
        </w:rPr>
        <w:t>向他人贷款或者提供担保；</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）从事承担无限责任的投资；</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）向本基金的基金管理人、基金托管人出资；</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5</w:t>
      </w:r>
      <w:r>
        <w:rPr>
          <w:rFonts w:ascii="宋体" w:hAnsi="宋体" w:hint="eastAsia"/>
          <w:color w:val="000000"/>
          <w:kern w:val="0"/>
          <w:sz w:val="24"/>
        </w:rPr>
        <w:t>）从事内幕交易、操纵证券交易价格及其他不正当的证券交易活动；</w:t>
      </w:r>
    </w:p>
    <w:p w:rsidR="004B7B94" w:rsidRDefault="00E10EAD">
      <w:pPr>
        <w:tabs>
          <w:tab w:val="left" w:pos="1260"/>
        </w:tabs>
        <w:spacing w:line="360" w:lineRule="auto"/>
        <w:ind w:firstLineChars="200" w:firstLine="480"/>
        <w:rPr>
          <w:bCs/>
          <w:sz w:val="24"/>
        </w:rPr>
      </w:pPr>
      <w:r>
        <w:rPr>
          <w:rFonts w:ascii="宋体" w:hAnsi="宋体" w:hint="eastAsia"/>
          <w:color w:val="000000"/>
          <w:kern w:val="0"/>
          <w:sz w:val="24"/>
        </w:rPr>
        <w:t>（</w:t>
      </w:r>
      <w:r>
        <w:rPr>
          <w:rFonts w:ascii="宋体" w:hAnsi="宋体" w:hint="eastAsia"/>
          <w:color w:val="000000"/>
          <w:kern w:val="0"/>
          <w:sz w:val="24"/>
        </w:rPr>
        <w:t>6</w:t>
      </w:r>
      <w:r>
        <w:rPr>
          <w:rFonts w:ascii="宋体" w:hAnsi="宋体" w:hint="eastAsia"/>
          <w:color w:val="000000"/>
          <w:kern w:val="0"/>
          <w:sz w:val="24"/>
        </w:rPr>
        <w:t>）</w:t>
      </w:r>
      <w:r>
        <w:rPr>
          <w:rFonts w:hint="eastAsia"/>
          <w:bCs/>
          <w:sz w:val="24"/>
        </w:rPr>
        <w:t>法律、行政法规和中国证监会</w:t>
      </w:r>
      <w:r>
        <w:rPr>
          <w:bCs/>
          <w:sz w:val="24"/>
        </w:rPr>
        <w:t>规定禁止的其他活动</w:t>
      </w:r>
      <w:r>
        <w:rPr>
          <w:rFonts w:hint="eastAsia"/>
          <w:bCs/>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bCs/>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Pr>
          <w:rFonts w:ascii="宋体" w:hAnsi="宋体"/>
          <w:bCs/>
          <w:color w:val="000000"/>
          <w:kern w:val="0"/>
          <w:sz w:val="24"/>
        </w:rPr>
        <w:t>经过</w:t>
      </w:r>
      <w:r>
        <w:rPr>
          <w:rFonts w:ascii="宋体" w:hAnsi="宋体" w:hint="eastAsia"/>
          <w:bCs/>
          <w:color w:val="000000"/>
          <w:kern w:val="0"/>
          <w:sz w:val="24"/>
        </w:rPr>
        <w:t>三分之二</w:t>
      </w:r>
      <w:r>
        <w:rPr>
          <w:rFonts w:ascii="宋体" w:hAnsi="宋体"/>
          <w:bCs/>
          <w:color w:val="000000"/>
          <w:kern w:val="0"/>
          <w:sz w:val="24"/>
        </w:rPr>
        <w:t>以上的独立董事通过</w:t>
      </w:r>
      <w:r>
        <w:rPr>
          <w:rFonts w:ascii="宋体" w:hAnsi="宋体" w:hint="eastAsia"/>
          <w:bCs/>
          <w:color w:val="000000"/>
          <w:kern w:val="0"/>
          <w:sz w:val="24"/>
        </w:rPr>
        <w:t>。基金管理人董事会应至少每半年对关联交易事项进行审查。</w:t>
      </w:r>
    </w:p>
    <w:p w:rsidR="004B7B94" w:rsidRDefault="00E10EAD">
      <w:pPr>
        <w:tabs>
          <w:tab w:val="left" w:pos="1260"/>
        </w:tabs>
        <w:spacing w:line="360" w:lineRule="auto"/>
        <w:ind w:firstLineChars="200" w:firstLine="480"/>
        <w:rPr>
          <w:rFonts w:ascii="宋体" w:hAnsi="宋体"/>
          <w:bCs/>
          <w:color w:val="000000"/>
          <w:kern w:val="0"/>
          <w:sz w:val="24"/>
        </w:rPr>
      </w:pPr>
      <w:r>
        <w:rPr>
          <w:rFonts w:ascii="宋体" w:hAnsi="宋体"/>
          <w:bCs/>
          <w:color w:val="000000"/>
          <w:kern w:val="0"/>
          <w:sz w:val="24"/>
        </w:rPr>
        <w:t>法律</w:t>
      </w:r>
      <w:r>
        <w:rPr>
          <w:rFonts w:ascii="宋体" w:hAnsi="宋体" w:hint="eastAsia"/>
          <w:bCs/>
          <w:color w:val="000000"/>
          <w:kern w:val="0"/>
          <w:sz w:val="24"/>
        </w:rPr>
        <w:t>、行政</w:t>
      </w:r>
      <w:r>
        <w:rPr>
          <w:rFonts w:ascii="宋体" w:hAnsi="宋体"/>
          <w:bCs/>
          <w:color w:val="000000"/>
          <w:kern w:val="0"/>
          <w:sz w:val="24"/>
        </w:rPr>
        <w:t>法规或监管部门取消上述</w:t>
      </w:r>
      <w:r>
        <w:rPr>
          <w:rFonts w:ascii="宋体" w:hAnsi="宋体"/>
          <w:bCs/>
          <w:color w:val="000000"/>
          <w:kern w:val="0"/>
          <w:sz w:val="24"/>
        </w:rPr>
        <w:t>限制，如适用于本基金，则本基金投资不再受相关限制。</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34" w:name="OLE_LINK4"/>
      <w:bookmarkStart w:id="35" w:name="OLE_LINK2"/>
      <w:r>
        <w:rPr>
          <w:rFonts w:ascii="宋体" w:hAnsi="宋体" w:hint="eastAsia"/>
          <w:b/>
          <w:bCs/>
          <w:color w:val="000000"/>
          <w:sz w:val="24"/>
        </w:rPr>
        <w:lastRenderedPageBreak/>
        <w:t>4</w:t>
      </w:r>
      <w:r>
        <w:rPr>
          <w:rFonts w:ascii="宋体" w:hAnsi="宋体" w:hint="eastAsia"/>
          <w:b/>
          <w:bCs/>
          <w:color w:val="000000"/>
          <w:sz w:val="24"/>
        </w:rPr>
        <w:t>、基金托管人根据有关法律、法规规定及基金合同和本协议约定，对基金管理人参与银行间债券市场进行监督。</w:t>
      </w:r>
    </w:p>
    <w:bookmarkEnd w:id="34"/>
    <w:bookmarkEnd w:id="35"/>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基金托管人依据有关法律、法规规定和《基金合同》约定对基金管理人参与银行间市场交易时面临的交易对手资信风险进行监督。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基金管理人应在基金投资运作之前向基金托管人提供符合法律、法规及行业标准的、经慎重选择的、本基金适用的银行间市场交易对手的名单，并约定各交易对手所适用的交易结算方式。基金托管人在收到名单后</w:t>
      </w:r>
      <w:r>
        <w:rPr>
          <w:rFonts w:ascii="宋体" w:hAnsi="宋体"/>
          <w:color w:val="000000"/>
          <w:kern w:val="0"/>
          <w:sz w:val="24"/>
        </w:rPr>
        <w:t>2</w:t>
      </w:r>
      <w:r>
        <w:rPr>
          <w:rFonts w:ascii="宋体" w:hAnsi="宋体" w:hint="eastAsia"/>
          <w:color w:val="000000"/>
          <w:kern w:val="0"/>
          <w:sz w:val="24"/>
        </w:rPr>
        <w:t>个工作日内电话或回函确认收到该名单。基金管理人应严格按</w:t>
      </w:r>
      <w:r>
        <w:rPr>
          <w:rFonts w:ascii="宋体" w:hAnsi="宋体" w:hint="eastAsia"/>
          <w:color w:val="000000"/>
          <w:kern w:val="0"/>
          <w:sz w:val="24"/>
        </w:rPr>
        <w:t>照交易对手名单的范围在银行间债券市场选择交易对手。基金托管人监督基金管理人是否按事前提供的银行间债券市场交易对手名单和交易结算方式进行交易。</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基金管理人应定期（每半年）和不定期对银行间市场现券及回购交易对手的名单进行更新。基金托管人在收到名单后</w:t>
      </w:r>
      <w:r>
        <w:rPr>
          <w:rFonts w:ascii="宋体" w:hAnsi="宋体" w:hint="eastAsia"/>
          <w:color w:val="000000"/>
          <w:kern w:val="0"/>
          <w:sz w:val="24"/>
        </w:rPr>
        <w:t>2</w:t>
      </w:r>
      <w:r>
        <w:rPr>
          <w:rFonts w:ascii="宋体" w:hAnsi="宋体" w:hint="eastAsia"/>
          <w:color w:val="000000"/>
          <w:kern w:val="0"/>
          <w:sz w:val="24"/>
        </w:rPr>
        <w:t>个工作日内电话或书面回函确认，新名单自基金托管人确认当日生效。新名单生效前已与本次剔除的交易对手所进行但尚未结算的交易，仍应按照协议进行结算。</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基金管理人参与银行间市场交易时，应按银行间债券市场的交易规则进行交易，由于交易对手资信风险引起的损失</w:t>
      </w:r>
      <w:r>
        <w:rPr>
          <w:rFonts w:ascii="宋体" w:hAnsi="宋体" w:hint="eastAsia"/>
          <w:color w:val="000000"/>
          <w:kern w:val="0"/>
          <w:sz w:val="24"/>
        </w:rPr>
        <w:t>,</w:t>
      </w:r>
      <w:r>
        <w:rPr>
          <w:rFonts w:ascii="宋体" w:hAnsi="宋体" w:hint="eastAsia"/>
          <w:color w:val="000000"/>
          <w:kern w:val="0"/>
          <w:sz w:val="24"/>
        </w:rPr>
        <w:t>基金管理人应当负责向</w:t>
      </w:r>
      <w:r>
        <w:rPr>
          <w:rFonts w:ascii="宋体" w:hAnsi="宋体" w:hint="eastAsia"/>
          <w:color w:val="000000"/>
          <w:kern w:val="0"/>
          <w:sz w:val="24"/>
        </w:rPr>
        <w:t>相关责任人追偿。基金托管人不承担由此造成的任何法律责任及损失。</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如基金托管人事后发现基金管理人没有按照事先约定的交易对手或交易方式进行交易时，基金托管人应及时提醒基金管理人，但基金托管人不承担由此造成的任何损失和责任。</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5</w:t>
      </w:r>
      <w:r>
        <w:rPr>
          <w:rFonts w:ascii="宋体" w:hAnsi="宋体" w:hint="eastAsia"/>
          <w:b/>
          <w:bCs/>
          <w:color w:val="000000"/>
          <w:sz w:val="24"/>
        </w:rPr>
        <w:t>、基金托管人根据有关法律、法规的规定及基金合同和本协议的约定，对基金管理人选择存款银行进行监督。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投资银行定期存款的，基金管理人应根据法律、法规的规定及基金合同的约定，确定符合条件的所有存款银行的名单，并及时提供给基金托管人。基金管理人应严格按照名单范围选择投资对象，基金托管人监督基金管理人是否按事前提供的对手名单进行投资。基金管理人超越名单范围进行投资的，基</w:t>
      </w:r>
      <w:r>
        <w:rPr>
          <w:rFonts w:ascii="宋体" w:hAnsi="宋体" w:hint="eastAsia"/>
          <w:color w:val="000000"/>
          <w:kern w:val="0"/>
          <w:sz w:val="24"/>
        </w:rPr>
        <w:lastRenderedPageBreak/>
        <w:t>金托管人应及时提醒基金管理人，但基金托管人不承担由此造成的任何损失和责任。对于任何的定期存款投资，基金管理人都必须代表本基金和存款机构签订定期存款协议，约定双方的权利和义务，该协议作为划款指令附件。该协议中必须有如下明确条款：“存款证实书不得被</w:t>
      </w:r>
      <w:r>
        <w:rPr>
          <w:rFonts w:ascii="宋体" w:hAnsi="宋体" w:hint="eastAsia"/>
          <w:color w:val="000000"/>
          <w:kern w:val="0"/>
          <w:sz w:val="24"/>
        </w:rPr>
        <w:t>质押或以任何方式被抵押，并不得用于转让和背书；本息到期归还或提前支取的所有款项必须划至托管专户（明确户名、开户行、账号等），不得划入其他任何账户”。如定期存款协议中未体现前述条款，基金托管人有权拒绝定期存款投资的划款指令。在取得存款证实书后，基金托管人保管证实书正本。</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本基金投资银行存款应符合如下规定：</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）基金管理人、基金托管人应当与存款银行建立定期对账机制，确保基金银行存款业务账目及核算的真实、准确。</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）基金管理人与基金托管人应根据相关规定，就本基金银行存款业务另行签订书面协议，明确双方在相关协议</w:t>
      </w:r>
      <w:r>
        <w:rPr>
          <w:rFonts w:ascii="宋体" w:hAnsi="宋体" w:hint="eastAsia"/>
          <w:color w:val="000000"/>
          <w:kern w:val="0"/>
          <w:sz w:val="24"/>
        </w:rPr>
        <w:t>签署、账户开设与管理、投资指令传达与执行、资金划拨、账目核对、到期兑付、文件保管以及存款证实书的开立、传递、保管等流程中的权利、义务和职责，以确保基金财产的安全，保护基金份额持有人的合法权益。</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）基金托管人应加强对基金银行存款业务的监督与核查，严格审查、复核相关协议、账户资料、投资指令、存款证实书等有关文件，切实履行托管职责。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）基金管理人与基金托管人在开展基金存款业务时，应严格遵守有关法律、法规，以及国家有关账户管理、利率管理、支付结算等的各项规定。</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5</w:t>
      </w:r>
      <w:r>
        <w:rPr>
          <w:rFonts w:ascii="宋体" w:hAnsi="宋体" w:hint="eastAsia"/>
          <w:color w:val="000000"/>
          <w:kern w:val="0"/>
          <w:sz w:val="24"/>
        </w:rPr>
        <w:t>）</w:t>
      </w:r>
      <w:r>
        <w:rPr>
          <w:rFonts w:ascii="宋体" w:hAnsi="宋体" w:hint="eastAsia"/>
          <w:bCs/>
          <w:color w:val="000000"/>
          <w:kern w:val="0"/>
          <w:sz w:val="24"/>
        </w:rPr>
        <w:t>基金投资银行存款的，基金管理人应根据法律</w:t>
      </w:r>
      <w:r>
        <w:rPr>
          <w:rFonts w:ascii="宋体" w:hAnsi="宋体" w:hint="eastAsia"/>
          <w:bCs/>
          <w:color w:val="000000"/>
          <w:kern w:val="0"/>
          <w:sz w:val="24"/>
        </w:rPr>
        <w:t>法规的规定及基金合同的约定，确定符合条件的所有存款银行的名单，并及时提供给基金托管人，基金托管人应据以对基金投资银行存款的交易对手是否符合有关规定进行监督。基金管理人对定期存款提前支取的损失由其承担。</w:t>
      </w:r>
    </w:p>
    <w:p w:rsidR="004B7B94" w:rsidRDefault="004B7B94">
      <w:pPr>
        <w:tabs>
          <w:tab w:val="left" w:pos="1260"/>
        </w:tabs>
        <w:spacing w:line="360" w:lineRule="auto"/>
        <w:ind w:firstLineChars="200" w:firstLine="480"/>
        <w:rPr>
          <w:rFonts w:ascii="宋体" w:hAnsi="宋体"/>
          <w:color w:val="000000"/>
          <w:kern w:val="0"/>
          <w:sz w:val="24"/>
        </w:rPr>
      </w:pPr>
    </w:p>
    <w:p w:rsidR="004B7B94" w:rsidRDefault="00E10EAD">
      <w:pPr>
        <w:tabs>
          <w:tab w:val="left" w:pos="1260"/>
        </w:tabs>
        <w:spacing w:line="360" w:lineRule="auto"/>
        <w:ind w:firstLineChars="200" w:firstLine="482"/>
        <w:rPr>
          <w:rFonts w:ascii="宋体" w:hAnsi="宋体"/>
          <w:b/>
          <w:color w:val="000000"/>
          <w:kern w:val="0"/>
          <w:sz w:val="24"/>
        </w:rPr>
      </w:pPr>
      <w:r>
        <w:rPr>
          <w:rFonts w:ascii="宋体" w:hAnsi="宋体" w:hint="eastAsia"/>
          <w:b/>
          <w:color w:val="000000"/>
          <w:kern w:val="0"/>
          <w:sz w:val="24"/>
        </w:rPr>
        <w:lastRenderedPageBreak/>
        <w:t>6</w:t>
      </w:r>
      <w:r>
        <w:rPr>
          <w:rFonts w:ascii="宋体" w:hAnsi="宋体" w:hint="eastAsia"/>
          <w:b/>
          <w:bCs/>
          <w:color w:val="000000"/>
          <w:sz w:val="24"/>
        </w:rPr>
        <w:t>、</w:t>
      </w:r>
      <w:r>
        <w:rPr>
          <w:rFonts w:ascii="宋体" w:hAnsi="宋体" w:hint="eastAsia"/>
          <w:b/>
          <w:color w:val="000000"/>
          <w:kern w:val="0"/>
          <w:sz w:val="24"/>
        </w:rPr>
        <w:t>基金托管人根据有关法律法规的规定及《基金合同》的约定，对基金管理人投资流通受限证券进行监督。</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w:t>
      </w:r>
      <w:r>
        <w:rPr>
          <w:rFonts w:ascii="宋体" w:hAnsi="宋体" w:cs="宋体" w:hint="eastAsia"/>
          <w:color w:val="000000"/>
          <w:kern w:val="0"/>
          <w:sz w:val="24"/>
        </w:rPr>
        <w:t>度、流动性风险处置预案以及相关投资额度和比例等的情况进行监督。</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等流通受限证券（此处的“流通受限证券”与上文所述的“流动性受限资产”并不完全一致）。本基金不投资有</w:t>
      </w:r>
      <w:proofErr w:type="gramStart"/>
      <w:r>
        <w:rPr>
          <w:rFonts w:ascii="宋体" w:hAnsi="宋体" w:cs="宋体" w:hint="eastAsia"/>
          <w:color w:val="000000"/>
          <w:kern w:val="0"/>
          <w:sz w:val="24"/>
        </w:rPr>
        <w:t>锁定期但锁定</w:t>
      </w:r>
      <w:proofErr w:type="gramEnd"/>
      <w:r>
        <w:rPr>
          <w:rFonts w:ascii="宋体" w:hAnsi="宋体" w:cs="宋体" w:hint="eastAsia"/>
          <w:color w:val="000000"/>
          <w:kern w:val="0"/>
          <w:sz w:val="24"/>
        </w:rPr>
        <w:t>期不明确的证券。</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本基金投资的流通受限证券限于可由中国证券登记结算有限责任公司、中央国债登记结算有限责任公司或</w:t>
      </w:r>
      <w:r>
        <w:rPr>
          <w:sz w:val="24"/>
        </w:rPr>
        <w:t>银行间市场清算所股份有限公司</w:t>
      </w:r>
      <w:r>
        <w:rPr>
          <w:rFonts w:ascii="宋体" w:hAnsi="宋体" w:cs="宋体" w:hint="eastAsia"/>
          <w:color w:val="000000"/>
          <w:kern w:val="0"/>
          <w:sz w:val="24"/>
        </w:rPr>
        <w:t>负责登记和存管，并可在证券交易所或全国银行间债券市场交易的证券。</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产生的流通受限证券登记存管问题，造成基金托管人无法安全保管本基金资产的责任与损失，及因流通受限证券存管直接影响本基金安全的责任及损失，由基金管理人承担。</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本基金投资流通受限证券，不得预付任何形式的保证金。</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）基金管理人投资非公开发行股票，应制订流动性风险处置预案并经其董事会批准。</w:t>
      </w:r>
      <w:r>
        <w:rPr>
          <w:rFonts w:ascii="宋体" w:hAnsi="宋体" w:cs="宋体" w:hint="eastAsia"/>
          <w:color w:val="000000"/>
          <w:kern w:val="0"/>
          <w:sz w:val="24"/>
        </w:rPr>
        <w:t>风险处置预案应包括但不限于因投资流通受限证券需要解决的基金投资比例限制失调、基金流动性困难以及相关损失的应对解决措施，以及有关异常情况的处置。基金管理人应在首次投资流通受限证券前向基金托管人</w:t>
      </w:r>
      <w:r>
        <w:rPr>
          <w:rFonts w:ascii="宋体" w:hAnsi="宋体" w:cs="宋体" w:hint="eastAsia"/>
          <w:color w:val="000000"/>
          <w:kern w:val="0"/>
          <w:sz w:val="24"/>
        </w:rPr>
        <w:lastRenderedPageBreak/>
        <w:t>提供</w:t>
      </w:r>
      <w:r>
        <w:rPr>
          <w:rFonts w:ascii="宋体" w:hAnsi="宋体" w:cs="宋体"/>
          <w:color w:val="000000"/>
          <w:kern w:val="0"/>
          <w:sz w:val="24"/>
        </w:rPr>
        <w:t>董事会批准的有关基金投资流通受限证券的投资决策流程、风险控制制度。</w:t>
      </w:r>
      <w:r>
        <w:rPr>
          <w:rFonts w:ascii="宋体" w:hAnsi="宋体" w:cs="宋体" w:hint="eastAsia"/>
          <w:color w:val="000000"/>
          <w:kern w:val="0"/>
          <w:sz w:val="24"/>
        </w:rPr>
        <w:t>基金投资非公开发行股票，</w:t>
      </w:r>
      <w:r>
        <w:rPr>
          <w:rFonts w:ascii="宋体" w:hAnsi="宋体" w:cs="宋体"/>
          <w:color w:val="000000"/>
          <w:kern w:val="0"/>
          <w:sz w:val="24"/>
        </w:rPr>
        <w:t>基金管理人还应提供基金管理人董事会批准的</w:t>
      </w:r>
      <w:r>
        <w:rPr>
          <w:rFonts w:ascii="宋体" w:hAnsi="宋体" w:cs="宋体" w:hint="eastAsia"/>
          <w:color w:val="000000"/>
          <w:kern w:val="0"/>
          <w:sz w:val="24"/>
        </w:rPr>
        <w:t>相关流动性风险处置预案。</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因此造成的实际损失。对本基金因投资流通受限证券导致的流动性风险，基金托管人不承担任何责任。如因基金管理</w:t>
      </w:r>
      <w:proofErr w:type="gramStart"/>
      <w:r>
        <w:rPr>
          <w:rFonts w:ascii="宋体" w:hAnsi="宋体" w:cs="宋体" w:hint="eastAsia"/>
          <w:color w:val="000000"/>
          <w:kern w:val="0"/>
          <w:sz w:val="24"/>
        </w:rPr>
        <w:t>人原因</w:t>
      </w:r>
      <w:proofErr w:type="gramEnd"/>
      <w:r>
        <w:rPr>
          <w:rFonts w:ascii="宋体" w:hAnsi="宋体" w:cs="宋体" w:hint="eastAsia"/>
          <w:color w:val="000000"/>
          <w:kern w:val="0"/>
          <w:sz w:val="24"/>
        </w:rPr>
        <w:t>导致本基金出现损失致使基金托管人承担连带赔偿责任的，基金管理人应赔偿基金托管人由此遭受的损失。</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）本基金投资非公开发行股票，基金管理人应至少于投资前三</w:t>
      </w:r>
      <w:r>
        <w:rPr>
          <w:rFonts w:ascii="宋体" w:hAnsi="宋体" w:cs="宋体" w:hint="eastAsia"/>
          <w:color w:val="000000"/>
          <w:kern w:val="0"/>
          <w:sz w:val="24"/>
        </w:rPr>
        <w:t>个工作日向基金托管人提交有关书面资料，并保证向基金托管人提供的有关资料真实、准确、完整。有关资料如有调整，基金管理人应及时提供调整后的资料。上述书面资料包括但不限于：</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）中国证监会批准发行非公开发行股票的批准文件。</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）非公开发行股票有关发行数量、发行价格、锁定期等发行资料。</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）非公开发行股票发行人与中国证券登记结算有限责任公司或中央国债登记结算有限责任公司签订的证券登记及服务协议。</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）基金拟认购的数量、价格、总成本、账面价值。</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）基金管理人应在本基金投资非公开发行股票后两个交易日内，在中国证监会</w:t>
      </w:r>
      <w:r>
        <w:rPr>
          <w:rFonts w:ascii="宋体" w:hAnsi="宋体" w:cs="宋体" w:hint="eastAsia"/>
          <w:color w:val="000000"/>
          <w:kern w:val="0"/>
          <w:sz w:val="24"/>
        </w:rPr>
        <w:t>指定媒介披露所投资非公开发行股票的名称、数量、总成本、账面价值，以及总成本和账面价值占基金资产净值的比例、锁定期等信息。</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本基金有关投资流通受限证券比例如违反有关限制规定，在合理期限内未能进行及时调整，基金管理人应按规定编制临时报告书，予以公告。</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）基金托管人根据有关规定有权对基金管理人进行以下事项监督：</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w:t>
      </w:r>
      <w:r>
        <w:rPr>
          <w:rFonts w:ascii="宋体" w:hAnsi="宋体" w:cs="宋体" w:hint="eastAsia"/>
          <w:color w:val="000000"/>
          <w:kern w:val="0"/>
          <w:sz w:val="24"/>
        </w:rPr>
        <w:t>）本基金投资流通受限证券时的法律法规遵守情况。</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）在基金投资流通受限证券管理工作方面有关制度、流动性风险处置预案的建立与完善情况。</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）有关比例限制的执行情况。</w:t>
      </w:r>
    </w:p>
    <w:p w:rsidR="004B7B94" w:rsidRDefault="00E10EAD">
      <w:pPr>
        <w:tabs>
          <w:tab w:val="left" w:pos="1260"/>
        </w:tabs>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）信息披露情况。</w:t>
      </w:r>
    </w:p>
    <w:p w:rsidR="004B7B94" w:rsidRDefault="00E10EAD">
      <w:pPr>
        <w:tabs>
          <w:tab w:val="left" w:pos="1260"/>
        </w:tabs>
        <w:spacing w:line="360" w:lineRule="auto"/>
        <w:ind w:firstLineChars="200" w:firstLine="480"/>
        <w:rPr>
          <w:rFonts w:ascii="宋体" w:hAnsi="宋体"/>
          <w:b/>
          <w:bCs/>
          <w:color w:val="00000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）相关法律</w:t>
      </w:r>
      <w:r>
        <w:rPr>
          <w:rFonts w:ascii="宋体" w:hAnsi="宋体" w:cs="宋体" w:hint="eastAsia"/>
          <w:color w:val="000000"/>
          <w:kern w:val="0"/>
          <w:sz w:val="24"/>
        </w:rPr>
        <w:t>法规对基金投资流通受限证券有新规定的，从其规定。</w:t>
      </w:r>
    </w:p>
    <w:p w:rsidR="004B7B94" w:rsidRDefault="00E10EAD">
      <w:pPr>
        <w:tabs>
          <w:tab w:val="left" w:pos="1260"/>
        </w:tabs>
        <w:spacing w:line="360" w:lineRule="auto"/>
        <w:ind w:firstLineChars="200" w:firstLine="482"/>
        <w:rPr>
          <w:rFonts w:ascii="宋体" w:hAnsi="宋体"/>
          <w:b/>
          <w:bCs/>
          <w:color w:val="000000"/>
          <w:sz w:val="24"/>
        </w:rPr>
      </w:pPr>
      <w:r>
        <w:rPr>
          <w:rFonts w:ascii="宋体" w:hAnsi="宋体" w:hint="eastAsia"/>
          <w:b/>
          <w:bCs/>
          <w:color w:val="000000"/>
          <w:sz w:val="24"/>
        </w:rPr>
        <w:t>7</w:t>
      </w:r>
      <w:r>
        <w:rPr>
          <w:rFonts w:ascii="宋体" w:hAnsi="宋体" w:hint="eastAsia"/>
          <w:b/>
          <w:bCs/>
          <w:color w:val="000000"/>
          <w:sz w:val="24"/>
        </w:rPr>
        <w:t>、基金托管人应依据本协议的约定加强对基金投资存托凭证的监督。</w:t>
      </w:r>
    </w:p>
    <w:p w:rsidR="004B7B94" w:rsidRDefault="00E10EAD">
      <w:pPr>
        <w:tabs>
          <w:tab w:val="left" w:pos="1260"/>
        </w:tabs>
        <w:spacing w:line="360" w:lineRule="auto"/>
        <w:ind w:firstLineChars="200" w:firstLine="482"/>
        <w:rPr>
          <w:rFonts w:ascii="宋体" w:hAnsi="宋体"/>
          <w:b/>
          <w:bCs/>
          <w:color w:val="000000"/>
          <w:sz w:val="24"/>
        </w:rPr>
      </w:pPr>
      <w:r>
        <w:rPr>
          <w:rFonts w:ascii="宋体" w:hAnsi="宋体" w:hint="eastAsia"/>
          <w:b/>
          <w:bCs/>
          <w:color w:val="000000"/>
          <w:sz w:val="24"/>
        </w:rPr>
        <w:t>8</w:t>
      </w:r>
      <w:r>
        <w:rPr>
          <w:rFonts w:ascii="宋体" w:hAnsi="宋体" w:hint="eastAsia"/>
          <w:b/>
          <w:bCs/>
          <w:color w:val="000000"/>
          <w:sz w:val="24"/>
        </w:rPr>
        <w:t>、基金托管人根据有关法律、法规的规定及基金合同和本协议的约定，对基金管理人产品禁投池进行监督。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基金管理人向基金托管人提供本基金禁投池清单。基金托管人在收到名单后</w:t>
      </w:r>
      <w:r>
        <w:rPr>
          <w:rFonts w:ascii="宋体" w:hAnsi="宋体"/>
          <w:color w:val="000000"/>
          <w:kern w:val="0"/>
          <w:sz w:val="24"/>
        </w:rPr>
        <w:t>2</w:t>
      </w:r>
      <w:r>
        <w:rPr>
          <w:rFonts w:ascii="宋体" w:hAnsi="宋体" w:hint="eastAsia"/>
          <w:color w:val="000000"/>
          <w:kern w:val="0"/>
          <w:sz w:val="24"/>
        </w:rPr>
        <w:t>个工作日内电话或回函确认收到该名单。基金管理人应定期和不定期对基金禁投池清单进行更新。基金托管人在收到清单后</w:t>
      </w:r>
      <w:r>
        <w:rPr>
          <w:rFonts w:ascii="宋体" w:hAnsi="宋体" w:hint="eastAsia"/>
          <w:color w:val="000000"/>
          <w:kern w:val="0"/>
          <w:sz w:val="24"/>
        </w:rPr>
        <w:t>2</w:t>
      </w:r>
      <w:r>
        <w:rPr>
          <w:rFonts w:ascii="宋体" w:hAnsi="宋体" w:hint="eastAsia"/>
          <w:color w:val="000000"/>
          <w:kern w:val="0"/>
          <w:sz w:val="24"/>
        </w:rPr>
        <w:t>个工作日内电话或书面回函确认，新清单自基金托管人确认当日生效。新清单生效</w:t>
      </w:r>
      <w:proofErr w:type="gramStart"/>
      <w:r>
        <w:rPr>
          <w:rFonts w:ascii="宋体" w:hAnsi="宋体" w:hint="eastAsia"/>
          <w:color w:val="000000"/>
          <w:kern w:val="0"/>
          <w:sz w:val="24"/>
        </w:rPr>
        <w:t>前基金</w:t>
      </w:r>
      <w:proofErr w:type="gramEnd"/>
      <w:r>
        <w:rPr>
          <w:rFonts w:ascii="宋体" w:hAnsi="宋体" w:hint="eastAsia"/>
          <w:color w:val="000000"/>
          <w:kern w:val="0"/>
          <w:sz w:val="24"/>
        </w:rPr>
        <w:t>托管人仍</w:t>
      </w:r>
      <w:proofErr w:type="gramStart"/>
      <w:r>
        <w:rPr>
          <w:rFonts w:ascii="宋体" w:hAnsi="宋体" w:hint="eastAsia"/>
          <w:color w:val="000000"/>
          <w:kern w:val="0"/>
          <w:sz w:val="24"/>
        </w:rPr>
        <w:t>按原禁投池</w:t>
      </w:r>
      <w:proofErr w:type="gramEnd"/>
      <w:r>
        <w:rPr>
          <w:rFonts w:ascii="宋体" w:hAnsi="宋体" w:hint="eastAsia"/>
          <w:color w:val="000000"/>
          <w:kern w:val="0"/>
          <w:sz w:val="24"/>
        </w:rPr>
        <w:t>清单进行监督。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w:t>
      </w:r>
      <w:r>
        <w:rPr>
          <w:rFonts w:ascii="宋体" w:hAnsi="宋体" w:hint="eastAsia"/>
          <w:color w:val="000000"/>
          <w:kern w:val="0"/>
          <w:sz w:val="24"/>
        </w:rPr>
        <w:t>超越名单范围进行投资的，基金托管人应及时提醒基金管理人，但基金托管人不承担由此造成的任何损失和责任。</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托管人应根据有关法律、法规的规定及基金合同的约定，对各类基金份额的基金资产净值计算、各类基金份额的基金份额净值计算、应收资金到账、基金费用开支及收入确认、基金收益分配、相关信息披露、基金宣传推介材料中登载基金业绩表现数据等进行监督和核查。</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（三）基金管理人应积极配合和协助基金托管人的监督和核查，在规定时间内答复并改正，就基金托管人的疑义进行解释或举证。对基金托管人按照法规要求需向中国证监会报送基金</w:t>
      </w:r>
      <w:r>
        <w:rPr>
          <w:rFonts w:ascii="宋体" w:hAnsi="宋体" w:hint="eastAsia"/>
          <w:b/>
          <w:bCs/>
          <w:color w:val="000000"/>
          <w:sz w:val="24"/>
        </w:rPr>
        <w:t>监督报告的，基金管理人应积极配合提供相关数据资料和制度等。</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w:t>
      </w:r>
      <w:r>
        <w:rPr>
          <w:rFonts w:ascii="宋体" w:hAnsi="宋体" w:hint="eastAsia"/>
          <w:color w:val="000000"/>
          <w:kern w:val="0"/>
          <w:sz w:val="24"/>
        </w:rPr>
        <w:t>金管理人对基金托管人通知的违规事项未能在限期内纠正的，基金托管人应报告中国证监会。</w:t>
      </w:r>
    </w:p>
    <w:p w:rsidR="004B7B94" w:rsidRDefault="00E10EAD">
      <w:pPr>
        <w:tabs>
          <w:tab w:val="left" w:pos="1260"/>
        </w:tabs>
        <w:spacing w:line="360" w:lineRule="auto"/>
        <w:ind w:firstLineChars="200" w:firstLine="480"/>
        <w:rPr>
          <w:rFonts w:ascii="宋体" w:hAnsi="宋体"/>
          <w:color w:val="000000"/>
          <w:kern w:val="0"/>
          <w:sz w:val="24"/>
        </w:rPr>
      </w:pPr>
      <w:proofErr w:type="gramStart"/>
      <w:r>
        <w:rPr>
          <w:rFonts w:ascii="宋体" w:hAnsi="宋体" w:hint="eastAsia"/>
          <w:color w:val="000000"/>
          <w:kern w:val="0"/>
          <w:sz w:val="24"/>
        </w:rPr>
        <w:t>若基金</w:t>
      </w:r>
      <w:proofErr w:type="gramEnd"/>
      <w:r>
        <w:rPr>
          <w:rFonts w:ascii="宋体" w:hAnsi="宋体" w:hint="eastAsia"/>
          <w:color w:val="000000"/>
          <w:kern w:val="0"/>
          <w:sz w:val="24"/>
        </w:rPr>
        <w:t>托管人发现基金管理人依据交易程序已经生效的指令违反法律、行政法规和其他有关规定，或者违反《基金合同》约定的，应当立即通知基金管理人，由此造成的损失由基金管理人承担。</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36" w:name="_Toc125892440"/>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四）当基金持有特定资产且存在或潜在大额赎回申请时，根据最大限度保护基金份额持有人利益的原则，基金管理人经与基金托管人协商一致，并向符合《证券法》规定的会计师事务所就特定资产认定的相关事宜咨询专业意见后，可以依照</w:t>
      </w:r>
      <w:r>
        <w:rPr>
          <w:rFonts w:ascii="宋体" w:hAnsi="宋体" w:hint="eastAsia"/>
          <w:b/>
          <w:bCs/>
          <w:color w:val="000000"/>
          <w:sz w:val="24"/>
        </w:rPr>
        <w:t>法律法规及基金合同的约定</w:t>
      </w:r>
      <w:proofErr w:type="gramStart"/>
      <w:r>
        <w:rPr>
          <w:rFonts w:ascii="宋体" w:hAnsi="宋体" w:hint="eastAsia"/>
          <w:b/>
          <w:bCs/>
          <w:color w:val="000000"/>
          <w:sz w:val="24"/>
        </w:rPr>
        <w:t>启用侧袋机制</w:t>
      </w:r>
      <w:proofErr w:type="gramEnd"/>
      <w:r>
        <w:rPr>
          <w:rFonts w:ascii="宋体" w:hAnsi="宋体" w:hint="eastAsia"/>
          <w:b/>
          <w:bCs/>
          <w:color w:val="000000"/>
          <w:sz w:val="24"/>
        </w:rPr>
        <w:t>，无需召开基金份额持有人大会审议。</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基金托管人依照相关法律法规的规定和基金合同的约定，对侧</w:t>
      </w:r>
      <w:proofErr w:type="gramStart"/>
      <w:r>
        <w:rPr>
          <w:rFonts w:ascii="宋体" w:hAnsi="宋体" w:hint="eastAsia"/>
          <w:b/>
          <w:bCs/>
          <w:color w:val="000000"/>
          <w:sz w:val="24"/>
        </w:rPr>
        <w:t>袋机制</w:t>
      </w:r>
      <w:proofErr w:type="gramEnd"/>
      <w:r>
        <w:rPr>
          <w:rFonts w:ascii="宋体" w:hAnsi="宋体" w:hint="eastAsia"/>
          <w:b/>
          <w:bCs/>
          <w:color w:val="000000"/>
          <w:sz w:val="24"/>
        </w:rPr>
        <w:t>启用、特定资产处置和信息披露等方面进行复核和监督。</w:t>
      </w:r>
      <w:proofErr w:type="gramStart"/>
      <w:r>
        <w:rPr>
          <w:rFonts w:ascii="宋体" w:hAnsi="宋体" w:hint="eastAsia"/>
          <w:b/>
          <w:bCs/>
          <w:color w:val="000000"/>
          <w:sz w:val="24"/>
        </w:rPr>
        <w:t>侧袋机制</w:t>
      </w:r>
      <w:proofErr w:type="gramEnd"/>
      <w:r>
        <w:rPr>
          <w:rFonts w:ascii="宋体" w:hAnsi="宋体" w:hint="eastAsia"/>
          <w:b/>
          <w:bCs/>
          <w:color w:val="000000"/>
          <w:sz w:val="24"/>
        </w:rPr>
        <w:t>实施期间的具体规则依照相关法律法规的规定和基金合同的约定执行。</w:t>
      </w:r>
    </w:p>
    <w:p w:rsidR="004B7B94" w:rsidRDefault="00E10EAD">
      <w:pPr>
        <w:pStyle w:val="1"/>
        <w:spacing w:before="0" w:after="0"/>
        <w:ind w:firstLineChars="200" w:firstLine="482"/>
      </w:pPr>
      <w:bookmarkStart w:id="37" w:name="_Toc25020"/>
      <w:bookmarkStart w:id="38" w:name="_Toc59200019"/>
      <w:bookmarkStart w:id="39" w:name="_Toc291504132"/>
      <w:bookmarkStart w:id="40" w:name="_Toc197"/>
      <w:r>
        <w:rPr>
          <w:rFonts w:hint="eastAsia"/>
        </w:rPr>
        <w:t>四、基金管理人对基金托管人的业务核查</w:t>
      </w:r>
      <w:bookmarkEnd w:id="36"/>
      <w:bookmarkEnd w:id="37"/>
      <w:bookmarkEnd w:id="38"/>
      <w:bookmarkEnd w:id="39"/>
      <w:bookmarkEnd w:id="40"/>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根据《基金法》及其他有关法规、《基金合同》和本协议规定，基金管理</w:t>
      </w:r>
      <w:r>
        <w:rPr>
          <w:rFonts w:ascii="宋体" w:hAnsi="宋体" w:hint="eastAsia"/>
          <w:color w:val="000000"/>
          <w:kern w:val="0"/>
          <w:sz w:val="24"/>
        </w:rPr>
        <w:lastRenderedPageBreak/>
        <w:t>人对基金托管人履行托管职责的情况进行核查，核查事项包括但不限于基金托管人是否安全保管基金财产、开立基金财产的托管账户、证券账户、债券托管账户等投资所需账户，</w:t>
      </w:r>
      <w:r>
        <w:rPr>
          <w:rFonts w:ascii="宋体" w:hAnsi="宋体" w:hint="eastAsia"/>
          <w:color w:val="000000"/>
          <w:kern w:val="0"/>
          <w:sz w:val="24"/>
        </w:rPr>
        <w:t>是否及时、准确复核基金管理人计算的</w:t>
      </w:r>
      <w:r>
        <w:rPr>
          <w:rFonts w:hint="eastAsia"/>
          <w:sz w:val="24"/>
          <w:szCs w:val="21"/>
        </w:rPr>
        <w:t>各类基金份额的</w:t>
      </w:r>
      <w:r>
        <w:rPr>
          <w:rFonts w:ascii="宋体" w:hAnsi="宋体" w:hint="eastAsia"/>
          <w:color w:val="000000"/>
          <w:kern w:val="0"/>
          <w:sz w:val="24"/>
        </w:rPr>
        <w:t>基金资产净值和基金份额净值，是否根据基金管理人指令办理清算交收，是否按照法规规定和《基金合同》规定进行相关信息披露和监督基金投资运作等行为。</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基金管理人定期（每半年）和不定期地对基金托管人保管的基金资产进行核查。基金托管人应积极配合基金管理人的核查行为，包括但不限于：提交相关资料以</w:t>
      </w:r>
      <w:proofErr w:type="gramStart"/>
      <w:r>
        <w:rPr>
          <w:rFonts w:ascii="宋体" w:hAnsi="宋体" w:hint="eastAsia"/>
          <w:color w:val="000000"/>
          <w:kern w:val="0"/>
          <w:sz w:val="24"/>
        </w:rPr>
        <w:t>供基金</w:t>
      </w:r>
      <w:proofErr w:type="gramEnd"/>
      <w:r>
        <w:rPr>
          <w:rFonts w:ascii="宋体" w:hAnsi="宋体" w:hint="eastAsia"/>
          <w:color w:val="000000"/>
          <w:kern w:val="0"/>
          <w:sz w:val="24"/>
        </w:rPr>
        <w:t>管理人核查托管财产的完整性和真实性，在规定时间内答复并改正。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基金管理人发现基金托管人未对基金资产实行分账管理、擅自挪用基金资产、未执行或无故延迟执行基金管理人资金划拨指令、泄</w:t>
      </w:r>
      <w:r>
        <w:rPr>
          <w:rFonts w:ascii="宋体" w:hAnsi="宋体" w:hint="eastAsia"/>
          <w:color w:val="000000"/>
          <w:kern w:val="0"/>
          <w:sz w:val="24"/>
        </w:rPr>
        <w:t>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w:t>
      </w:r>
      <w:r>
        <w:rPr>
          <w:rFonts w:ascii="宋体" w:hAnsi="宋体" w:hint="eastAsia"/>
          <w:color w:val="000000"/>
          <w:sz w:val="24"/>
        </w:rPr>
        <w:t>对基金管理人按照法规要求需向中国证监会报送基金监督报告的，基金托管人应积极配合提供相关数据资料和制度等。</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基金管理人发现基金托管人</w:t>
      </w:r>
      <w:r>
        <w:rPr>
          <w:rFonts w:ascii="宋体" w:hAnsi="宋体" w:hint="eastAsia"/>
          <w:color w:val="000000"/>
          <w:kern w:val="0"/>
          <w:sz w:val="24"/>
        </w:rPr>
        <w:t>有重大违规行为，应立即报告中国证监会，同时通知基金托管人在限期内纠正。基金托管人无正当理由，拒绝、阻挠对方根据本协议规定行使监督权，或采取拖延、欺诈等手段妨碍对方进行有效监督，情节严重或经基金管理人提出警告仍不改正的，基金管理人应报告中国证监会。</w:t>
      </w:r>
    </w:p>
    <w:p w:rsidR="004B7B94" w:rsidRDefault="00E10EAD">
      <w:pPr>
        <w:pStyle w:val="1"/>
        <w:spacing w:before="0" w:after="0"/>
        <w:ind w:firstLineChars="200" w:firstLine="482"/>
      </w:pPr>
      <w:bookmarkStart w:id="41" w:name="_Toc125892441"/>
      <w:bookmarkStart w:id="42" w:name="_Toc22454437"/>
      <w:bookmarkStart w:id="43" w:name="_Toc19889"/>
      <w:bookmarkStart w:id="44" w:name="_Toc523829995"/>
      <w:bookmarkStart w:id="45" w:name="_Toc59200020"/>
      <w:bookmarkStart w:id="46" w:name="_Toc291504133"/>
      <w:bookmarkStart w:id="47" w:name="_Toc31551"/>
      <w:bookmarkStart w:id="48" w:name="_Toc466788854"/>
      <w:r>
        <w:rPr>
          <w:rFonts w:hint="eastAsia"/>
        </w:rPr>
        <w:t>五、基金财产的保管</w:t>
      </w:r>
      <w:bookmarkEnd w:id="41"/>
      <w:bookmarkEnd w:id="42"/>
      <w:bookmarkEnd w:id="43"/>
      <w:bookmarkEnd w:id="44"/>
      <w:bookmarkEnd w:id="45"/>
      <w:bookmarkEnd w:id="46"/>
      <w:bookmarkEnd w:id="47"/>
      <w:bookmarkEnd w:id="48"/>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49" w:name="_Toc37159173"/>
      <w:bookmarkStart w:id="50" w:name="_Toc77662997"/>
      <w:r>
        <w:rPr>
          <w:rFonts w:ascii="宋体" w:hAnsi="宋体" w:hint="eastAsia"/>
          <w:b/>
          <w:bCs/>
          <w:color w:val="000000"/>
          <w:sz w:val="24"/>
        </w:rPr>
        <w:t>（一）基金财产保管的原则</w:t>
      </w:r>
      <w:bookmarkEnd w:id="49"/>
      <w:bookmarkEnd w:id="50"/>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、基金托管人应安全保管基金财产，未经基金管理人的指令，不得自行</w:t>
      </w:r>
      <w:r>
        <w:rPr>
          <w:rFonts w:ascii="宋体" w:hAnsi="宋体" w:hint="eastAsia"/>
          <w:color w:val="000000"/>
          <w:kern w:val="0"/>
          <w:sz w:val="24"/>
        </w:rPr>
        <w:lastRenderedPageBreak/>
        <w:t>运用、处分、分配基金的任何资产。基金托管人仅对实际交付并控制下的基金财产承担保管职责，对于</w:t>
      </w:r>
      <w:proofErr w:type="gramStart"/>
      <w:r>
        <w:rPr>
          <w:rFonts w:ascii="宋体" w:hAnsi="宋体" w:hint="eastAsia"/>
          <w:color w:val="000000"/>
          <w:kern w:val="0"/>
          <w:sz w:val="24"/>
        </w:rPr>
        <w:t>非基金</w:t>
      </w:r>
      <w:proofErr w:type="gramEnd"/>
      <w:r>
        <w:rPr>
          <w:rFonts w:ascii="宋体" w:hAnsi="宋体" w:hint="eastAsia"/>
          <w:color w:val="000000"/>
          <w:kern w:val="0"/>
          <w:sz w:val="24"/>
        </w:rPr>
        <w:t>托管人保管的财产不承担责任。</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、基金财产应独立于基金管理</w:t>
      </w:r>
      <w:r>
        <w:rPr>
          <w:rFonts w:ascii="宋体" w:hAnsi="宋体" w:hint="eastAsia"/>
          <w:color w:val="000000"/>
          <w:kern w:val="0"/>
          <w:sz w:val="24"/>
        </w:rPr>
        <w:t>人、基金托管人的固有财产。</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、基金托管人按照规定开立基金财产的托管账户、证券账户、债券托管账户等投资所需账户。</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、基金托管人对所托管的不同基金财产分别设置账户，与基金托管人的其他业务和其他基金的托管业务实行严格的分账管理，确保基金财产的完整和独立。</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w:t>
      </w:r>
      <w:r>
        <w:rPr>
          <w:rFonts w:ascii="宋体" w:hAnsi="宋体" w:hint="eastAsia"/>
          <w:color w:val="000000"/>
          <w:kern w:val="0"/>
          <w:sz w:val="24"/>
        </w:rPr>
        <w:t>关当事人追偿基金的损失。</w:t>
      </w:r>
      <w:bookmarkStart w:id="51" w:name="_Toc37159174"/>
      <w:bookmarkStart w:id="52" w:name="_Toc77662998"/>
      <w:r>
        <w:rPr>
          <w:rFonts w:ascii="宋体" w:hAnsi="宋体" w:hint="eastAsia"/>
          <w:color w:val="000000"/>
          <w:kern w:val="0"/>
          <w:sz w:val="24"/>
        </w:rPr>
        <w:t>基金托管人应</w:t>
      </w:r>
      <w:r>
        <w:rPr>
          <w:rFonts w:ascii="宋体" w:hAnsi="宋体"/>
          <w:color w:val="000000"/>
          <w:kern w:val="0"/>
          <w:sz w:val="24"/>
        </w:rPr>
        <w:t>给予必要的协助，但</w:t>
      </w:r>
      <w:r>
        <w:rPr>
          <w:rFonts w:ascii="宋体" w:hAnsi="宋体" w:hint="eastAsia"/>
          <w:color w:val="000000"/>
          <w:kern w:val="0"/>
          <w:sz w:val="24"/>
        </w:rPr>
        <w:t>对此不承担任何责任。</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6</w:t>
      </w:r>
      <w:r>
        <w:rPr>
          <w:rFonts w:ascii="宋体" w:hAnsi="宋体" w:hint="eastAsia"/>
          <w:color w:val="000000"/>
          <w:kern w:val="0"/>
          <w:sz w:val="24"/>
        </w:rPr>
        <w:t>、除依据法律法规和《基金合同》的规定外，基金托管人不得委托第三人托管基金财产。</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7</w:t>
      </w:r>
      <w:r>
        <w:rPr>
          <w:rFonts w:ascii="宋体" w:hAnsi="宋体" w:hint="eastAsia"/>
          <w:color w:val="000000"/>
          <w:kern w:val="0"/>
          <w:sz w:val="24"/>
        </w:rPr>
        <w:t>、托管期间，如相关监管机构或法规对基金财产的保管事宜另有规定的，从其规定。</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（二）基金合同生效时募集资产的验证</w:t>
      </w:r>
      <w:bookmarkEnd w:id="51"/>
      <w:bookmarkEnd w:id="52"/>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hint="eastAsia"/>
          <w:bCs/>
          <w:color w:val="000000"/>
          <w:sz w:val="24"/>
        </w:rPr>
        <w:t>基金募集期间募集的资金应存于基金管理人在具有托管资格的商业银行开设的华商基金管理有限公司“基金募集专户”。该账户由基金管理人开立并管理。</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基金募集期满</w:t>
      </w:r>
      <w:r>
        <w:rPr>
          <w:rFonts w:ascii="宋体" w:hAnsi="宋体"/>
          <w:color w:val="000000"/>
          <w:kern w:val="0"/>
          <w:sz w:val="24"/>
        </w:rPr>
        <w:t>之日起</w:t>
      </w:r>
      <w:r>
        <w:rPr>
          <w:rFonts w:ascii="宋体" w:hAnsi="宋体" w:hint="eastAsia"/>
          <w:color w:val="000000"/>
          <w:kern w:val="0"/>
          <w:sz w:val="24"/>
        </w:rPr>
        <w:t>10</w:t>
      </w:r>
      <w:r>
        <w:rPr>
          <w:rFonts w:ascii="宋体" w:hAnsi="宋体"/>
          <w:color w:val="000000"/>
          <w:kern w:val="0"/>
          <w:sz w:val="24"/>
        </w:rPr>
        <w:t>日内</w:t>
      </w:r>
      <w:r>
        <w:rPr>
          <w:rFonts w:ascii="宋体" w:hAnsi="宋体" w:hint="eastAsia"/>
          <w:color w:val="000000"/>
          <w:kern w:val="0"/>
          <w:sz w:val="24"/>
        </w:rPr>
        <w:t>，募集的基金募集金额符合《基金法》、《运作办法》等有关规定后，由基金管理人聘</w:t>
      </w:r>
      <w:r>
        <w:rPr>
          <w:rFonts w:ascii="宋体" w:hAnsi="宋体" w:hint="eastAsia"/>
          <w:color w:val="000000"/>
          <w:kern w:val="0"/>
          <w:sz w:val="24"/>
        </w:rPr>
        <w:t>请具有从事证券相关业务资格的会计师事务所进行验资，出具验资报告，出具的验资报告应由参加验资的</w:t>
      </w:r>
      <w:r>
        <w:rPr>
          <w:rFonts w:ascii="宋体" w:hAnsi="宋体"/>
          <w:color w:val="000000"/>
          <w:kern w:val="0"/>
          <w:sz w:val="24"/>
        </w:rPr>
        <w:t>2</w:t>
      </w:r>
      <w:r>
        <w:rPr>
          <w:rFonts w:ascii="宋体" w:hAnsi="宋体" w:hint="eastAsia"/>
          <w:color w:val="000000"/>
          <w:kern w:val="0"/>
          <w:sz w:val="24"/>
        </w:rPr>
        <w:t>名以上（含</w:t>
      </w:r>
      <w:r>
        <w:rPr>
          <w:rFonts w:ascii="宋体" w:hAnsi="宋体"/>
          <w:color w:val="000000"/>
          <w:kern w:val="0"/>
          <w:sz w:val="24"/>
        </w:rPr>
        <w:t>2</w:t>
      </w:r>
      <w:r>
        <w:rPr>
          <w:rFonts w:ascii="宋体" w:hAnsi="宋体" w:hint="eastAsia"/>
          <w:color w:val="000000"/>
          <w:kern w:val="0"/>
          <w:sz w:val="24"/>
        </w:rPr>
        <w:t>名）中国注册会计师签字有效。验资完成，基金管理人应将募集到</w:t>
      </w:r>
      <w:r>
        <w:rPr>
          <w:rFonts w:ascii="宋体" w:hAnsi="宋体" w:hint="eastAsia"/>
          <w:color w:val="000000"/>
          <w:kern w:val="0"/>
          <w:sz w:val="24"/>
        </w:rPr>
        <w:lastRenderedPageBreak/>
        <w:t>的全部资金存入基金托管人为基金开立的基金银行存款账户中，基金托管人在收到资金当日出具相关证明文件。</w:t>
      </w:r>
      <w:bookmarkStart w:id="53" w:name="_Toc77663000"/>
      <w:bookmarkStart w:id="54" w:name="_Toc37159176"/>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（三）基金的银行存款账户的开立和管理</w:t>
      </w:r>
      <w:bookmarkEnd w:id="53"/>
      <w:bookmarkEnd w:id="54"/>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、基金托管人应负责本基金银行存款账户的开立和管理。</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、基金托管人为基金在商业银行开立基金的银行存款账户，并根据中国人民银行规定计息。本基金的银行预留印鉴由基金托管</w:t>
      </w:r>
      <w:proofErr w:type="gramStart"/>
      <w:r>
        <w:rPr>
          <w:rFonts w:ascii="宋体" w:hAnsi="宋体" w:hint="eastAsia"/>
          <w:color w:val="000000"/>
          <w:kern w:val="0"/>
          <w:sz w:val="24"/>
        </w:rPr>
        <w:t>人制</w:t>
      </w:r>
      <w:proofErr w:type="gramEnd"/>
      <w:r>
        <w:rPr>
          <w:rFonts w:ascii="宋体" w:hAnsi="宋体" w:hint="eastAsia"/>
          <w:color w:val="000000"/>
          <w:kern w:val="0"/>
          <w:sz w:val="24"/>
        </w:rPr>
        <w:t>作、保管和使用。本基金的一切货币收支活动，包括但不限于投资、支付赎回金额、支付基金收益，均需通过本基金的银行存款账户进行。</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、基金托管人可以通过申请开通本基金银行账户的企业网上银行业务进行资金支付，并使用企业网上银行（简称“网银”）办理托管资产的资金结算汇划业务。</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、基金银行存款账户的管理应符合法律、法规以及银行业监督管理机构的其他规定。</w:t>
      </w:r>
      <w:bookmarkStart w:id="55" w:name="_Toc37159177"/>
      <w:bookmarkStart w:id="56" w:name="_Toc77663001"/>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（四）基金的证券交收账户和资金交收账户的开立和管理</w:t>
      </w:r>
      <w:bookmarkEnd w:id="55"/>
      <w:bookmarkEnd w:id="56"/>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基金托管人为本基金在中国证券登记结算有限责任公司开立证券账户。</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w:t>
      </w:r>
      <w:r>
        <w:rPr>
          <w:rFonts w:ascii="宋体" w:hAnsi="宋体" w:hint="eastAsia"/>
          <w:color w:val="000000"/>
          <w:kern w:val="0"/>
          <w:sz w:val="24"/>
        </w:rPr>
        <w:t>动。</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基金管理人不得对基金证券交收账户、资金交收账户进行证券的超卖或超买。</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w:t>
      </w:r>
      <w:r>
        <w:rPr>
          <w:rFonts w:ascii="宋体" w:hAnsi="宋体"/>
          <w:color w:val="000000"/>
          <w:kern w:val="0"/>
          <w:sz w:val="24"/>
        </w:rPr>
        <w:t>以</w:t>
      </w:r>
      <w:r>
        <w:rPr>
          <w:rFonts w:ascii="宋体" w:hAnsi="宋体" w:hint="eastAsia"/>
          <w:color w:val="000000"/>
          <w:kern w:val="0"/>
          <w:sz w:val="24"/>
        </w:rPr>
        <w:t>基金托管人的名义在中国证券登记结算有限责任公司开立结</w:t>
      </w:r>
      <w:r>
        <w:rPr>
          <w:rFonts w:ascii="宋体" w:hAnsi="宋体" w:hint="eastAsia"/>
          <w:color w:val="000000"/>
          <w:kern w:val="0"/>
          <w:sz w:val="24"/>
        </w:rPr>
        <w:lastRenderedPageBreak/>
        <w:t>算备付金账户即资金交收账户，用于证券交易资金的结算。</w:t>
      </w:r>
      <w:bookmarkStart w:id="57" w:name="_Toc77663003"/>
      <w:bookmarkStart w:id="58" w:name="_Toc37159179"/>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（五）债券托管账户的开立和管理</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、募集资金经验资后，基金托管人负责在中央国债登记结算有限责任公司及</w:t>
      </w:r>
      <w:r>
        <w:rPr>
          <w:rFonts w:ascii="宋体" w:hAnsi="宋体"/>
          <w:color w:val="000000"/>
          <w:kern w:val="0"/>
          <w:sz w:val="24"/>
        </w:rPr>
        <w:t>银行间市场清算所股份有限公司</w:t>
      </w:r>
      <w:r>
        <w:rPr>
          <w:rFonts w:ascii="宋体" w:hAnsi="宋体" w:hint="eastAsia"/>
          <w:color w:val="000000"/>
          <w:kern w:val="0"/>
          <w:sz w:val="24"/>
        </w:rPr>
        <w:t>以本基金的名义开立债券托管账户，并由基金托管人负责基金的债券及资金的清算。在上述手续办理完毕后，由基金托管人向人民银行进行报备。</w:t>
      </w:r>
      <w:r>
        <w:rPr>
          <w:rFonts w:ascii="宋体" w:hAnsi="宋体" w:hint="eastAsia"/>
          <w:color w:val="000000"/>
          <w:kern w:val="0"/>
          <w:sz w:val="24"/>
          <w:szCs w:val="21"/>
        </w:rPr>
        <w:t>基金管理人负责申请基金进入全国银行间同业拆借市场进行交易，由基</w:t>
      </w:r>
      <w:r>
        <w:rPr>
          <w:rFonts w:ascii="宋体" w:hAnsi="宋体" w:hint="eastAsia"/>
          <w:color w:val="000000"/>
          <w:kern w:val="0"/>
          <w:sz w:val="24"/>
          <w:szCs w:val="21"/>
        </w:rPr>
        <w:t>金管理人在中国外汇交易中心开设同业拆借市场交易</w:t>
      </w:r>
      <w:r>
        <w:rPr>
          <w:rFonts w:ascii="宋体" w:hAnsi="宋体" w:hint="eastAsia"/>
          <w:color w:val="000000"/>
          <w:sz w:val="24"/>
        </w:rPr>
        <w:t>账户</w:t>
      </w:r>
      <w:r>
        <w:rPr>
          <w:rFonts w:ascii="宋体" w:hAnsi="宋体" w:hint="eastAsia"/>
          <w:color w:val="000000"/>
          <w:kern w:val="0"/>
          <w:sz w:val="24"/>
          <w:szCs w:val="21"/>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、基金管理人和基金托管人共同代表基金签订全国银行间债券市场债券回购主协议，协议正本由基金托管人保管，协议副本由基金管理人保存。</w:t>
      </w:r>
    </w:p>
    <w:p w:rsidR="004B7B94" w:rsidRDefault="00E10EAD">
      <w:pPr>
        <w:tabs>
          <w:tab w:val="left" w:pos="1260"/>
        </w:tabs>
        <w:spacing w:line="360" w:lineRule="auto"/>
        <w:ind w:firstLineChars="200" w:firstLine="482"/>
        <w:rPr>
          <w:rFonts w:ascii="宋体" w:hAnsi="宋体"/>
          <w:b/>
          <w:color w:val="000000"/>
          <w:kern w:val="0"/>
          <w:sz w:val="24"/>
        </w:rPr>
      </w:pPr>
      <w:r>
        <w:rPr>
          <w:rFonts w:ascii="宋体" w:hAnsi="宋体" w:hint="eastAsia"/>
          <w:b/>
          <w:color w:val="000000"/>
          <w:kern w:val="0"/>
          <w:sz w:val="24"/>
        </w:rPr>
        <w:t>（六）其他账户的开立和管理</w:t>
      </w:r>
    </w:p>
    <w:p w:rsidR="004B7B94" w:rsidRDefault="00E10EAD">
      <w:pPr>
        <w:pStyle w:val="20"/>
        <w:rPr>
          <w:color w:val="000000"/>
        </w:rPr>
      </w:pPr>
      <w:r>
        <w:rPr>
          <w:rFonts w:hint="eastAsia"/>
          <w:color w:val="000000"/>
        </w:rPr>
        <w:t>若中国证监会或其他监管机构在本托管协议订立日之后允许基金从事其他投资品种的投资业务，涉及相关账户的开立、使用的，由基金管理人或托管人根据有关法律、法规的规定和《基金合同》的约定，开立有关账户。该账户按有关规则使用并管理。</w:t>
      </w:r>
    </w:p>
    <w:p w:rsidR="004B7B94" w:rsidRDefault="00E10EAD">
      <w:pPr>
        <w:pStyle w:val="20"/>
        <w:rPr>
          <w:color w:val="000000"/>
        </w:rPr>
      </w:pPr>
      <w:r>
        <w:rPr>
          <w:rFonts w:hint="eastAsia"/>
          <w:color w:val="000000"/>
        </w:rPr>
        <w:t>法律法规等</w:t>
      </w:r>
      <w:r>
        <w:rPr>
          <w:color w:val="000000"/>
        </w:rPr>
        <w:t>有关规定对相关账户的开立和管理另</w:t>
      </w:r>
      <w:r>
        <w:rPr>
          <w:rFonts w:hint="eastAsia"/>
          <w:color w:val="000000"/>
        </w:rPr>
        <w:t>有</w:t>
      </w:r>
      <w:r>
        <w:rPr>
          <w:color w:val="000000"/>
        </w:rPr>
        <w:t>规定的，从其规定办理。</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（七）基金财产投资的有关实物证券、银行存款定期存单等有价凭证的保管</w:t>
      </w:r>
      <w:bookmarkEnd w:id="57"/>
      <w:bookmarkEnd w:id="58"/>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实物证券由基金托管人存放于基金托管人或其他基金管理人与基金托管人协商一致的第三方机构的保管库。实物证券的购买和转让，由基金托管人根据基金管理人的指令办理。基金托管人对由基金托管人以外机构实际有效控制的本基金资产不承担保管责任。</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银行存款定期存单等有价凭证原件由基金托管人负责保管。</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59" w:name="_Toc37159180"/>
      <w:bookmarkStart w:id="60" w:name="_Toc77663004"/>
      <w:r>
        <w:rPr>
          <w:rFonts w:ascii="宋体" w:hAnsi="宋体" w:hint="eastAsia"/>
          <w:b/>
          <w:bCs/>
          <w:color w:val="000000"/>
          <w:sz w:val="24"/>
        </w:rPr>
        <w:t>（八）与基金财产有关的重大合同的保管</w:t>
      </w:r>
      <w:bookmarkEnd w:id="59"/>
      <w:bookmarkEnd w:id="60"/>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由基金管理人代表基金签署的与基金有关的重大合同的原件分别由基金托</w:t>
      </w:r>
      <w:r>
        <w:rPr>
          <w:rFonts w:ascii="宋体" w:hAnsi="宋体" w:hint="eastAsia"/>
          <w:color w:val="000000"/>
          <w:kern w:val="0"/>
          <w:sz w:val="24"/>
        </w:rPr>
        <w:lastRenderedPageBreak/>
        <w:t>管人、基金管理人保管，相关业务程序另有限制除外。除本协议另有</w:t>
      </w:r>
      <w:r>
        <w:rPr>
          <w:rFonts w:ascii="宋体" w:hAnsi="宋体" w:hint="eastAsia"/>
          <w:color w:val="000000"/>
          <w:kern w:val="0"/>
          <w:sz w:val="24"/>
        </w:rPr>
        <w:t>规定外，基金管理人在代基金签署与基金有关的重大合同时应尽可能保证持有二份以上的正本，以便基金管理人和基金托管人至少各持有一份正本的原件，基金管理人在合同签署后</w:t>
      </w:r>
      <w:r>
        <w:rPr>
          <w:rFonts w:ascii="宋体" w:hAnsi="宋体" w:hint="eastAsia"/>
          <w:color w:val="000000"/>
          <w:kern w:val="0"/>
          <w:sz w:val="24"/>
        </w:rPr>
        <w:t>15</w:t>
      </w:r>
      <w:r>
        <w:rPr>
          <w:rFonts w:ascii="宋体" w:hAnsi="宋体" w:hint="eastAsia"/>
          <w:color w:val="000000"/>
          <w:kern w:val="0"/>
          <w:sz w:val="24"/>
        </w:rPr>
        <w:t>个工作日内通过专人送达、挂号邮寄等安全方式将合同原件送达基金托管人处。合同的保管期限按照国家有关规定执行。</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对于无法取得二份以上的正本的，基金管理人应向基金托管人提供与原件核对一致后加盖授权业务章的合同传真件，未经双方协商或未在合同约定范围内，合同原件不得转移。</w:t>
      </w:r>
      <w:bookmarkStart w:id="61" w:name="_Toc523829996"/>
      <w:bookmarkStart w:id="62" w:name="_Toc125892442"/>
      <w:bookmarkStart w:id="63" w:name="_Toc466788855"/>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因基金管理人未按本协议约定及时向基金托管人送达重大合同原件或传真件导致的法律责任，基金</w:t>
      </w:r>
      <w:r>
        <w:rPr>
          <w:rFonts w:ascii="宋体" w:hAnsi="宋体" w:hint="eastAsia"/>
          <w:color w:val="000000"/>
          <w:kern w:val="0"/>
          <w:sz w:val="24"/>
        </w:rPr>
        <w:t>托管人不予承担。</w:t>
      </w:r>
    </w:p>
    <w:p w:rsidR="004B7B94" w:rsidRDefault="00E10EAD">
      <w:pPr>
        <w:pStyle w:val="1"/>
        <w:spacing w:before="0" w:after="0"/>
        <w:ind w:firstLineChars="200" w:firstLine="482"/>
      </w:pPr>
      <w:bookmarkStart w:id="64" w:name="_Toc1738"/>
      <w:bookmarkStart w:id="65" w:name="_Toc59200021"/>
      <w:bookmarkStart w:id="66" w:name="_Toc291504134"/>
      <w:bookmarkStart w:id="67" w:name="_Toc19757"/>
      <w:r>
        <w:rPr>
          <w:rFonts w:hint="eastAsia"/>
        </w:rPr>
        <w:t>六、指令的发送、确认和执行</w:t>
      </w:r>
      <w:bookmarkEnd w:id="61"/>
      <w:bookmarkEnd w:id="62"/>
      <w:bookmarkEnd w:id="63"/>
      <w:bookmarkEnd w:id="64"/>
      <w:bookmarkEnd w:id="65"/>
      <w:bookmarkEnd w:id="66"/>
      <w:bookmarkEnd w:id="67"/>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68" w:name="_Toc77663006"/>
      <w:r>
        <w:rPr>
          <w:rFonts w:ascii="宋体" w:hAnsi="宋体" w:hint="eastAsia"/>
          <w:b/>
          <w:bCs/>
          <w:color w:val="000000"/>
          <w:sz w:val="24"/>
        </w:rPr>
        <w:t>（一）基金管理人对发送指令人员的书面授权</w:t>
      </w:r>
      <w:bookmarkEnd w:id="68"/>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向基金托管人提供预留印鉴和授权人签字样本，事先书面通知（以下称“授权通知”）基金托管人有权发送指令的人员名单，注明相应的交易权限，并规定基金管理人向基金托管人发送指令时基金托管人确认有权发送人员身份的方法。基金管理人将加盖公章和法定代表人（或授权代表）名章的授权通知通过传真或电子邮件发送扫描件方式或其他基金管理人和基金托管人认可的方式发出后，同时以电话形式向基金托管人确认；授权通知自基金托管人收到传真或</w:t>
      </w:r>
      <w:proofErr w:type="gramStart"/>
      <w:r>
        <w:rPr>
          <w:rFonts w:ascii="宋体" w:hAnsi="宋体" w:hint="eastAsia"/>
          <w:color w:val="000000"/>
          <w:kern w:val="0"/>
          <w:sz w:val="24"/>
        </w:rPr>
        <w:t>扫描件并电话</w:t>
      </w:r>
      <w:proofErr w:type="gramEnd"/>
      <w:r>
        <w:rPr>
          <w:rFonts w:ascii="宋体" w:hAnsi="宋体" w:hint="eastAsia"/>
          <w:color w:val="000000"/>
          <w:kern w:val="0"/>
          <w:sz w:val="24"/>
        </w:rPr>
        <w:t>确认后，方视为通知送达。授权通知在送达后，自其载明的启用日期开始生效，通知送达的日</w:t>
      </w:r>
      <w:r>
        <w:rPr>
          <w:rFonts w:ascii="宋体" w:hAnsi="宋体" w:hint="eastAsia"/>
          <w:color w:val="000000"/>
          <w:kern w:val="0"/>
          <w:sz w:val="24"/>
        </w:rPr>
        <w:t>期晚于载明的启用日期的，则通知送达时生效。基金管理人应通过传真加盖公章的</w:t>
      </w:r>
      <w:r>
        <w:rPr>
          <w:rFonts w:ascii="宋体" w:hAnsi="宋体" w:hint="eastAsia"/>
          <w:sz w:val="24"/>
        </w:rPr>
        <w:t>方式向基金托管人发出授权通知。</w:t>
      </w:r>
      <w:r>
        <w:rPr>
          <w:rFonts w:ascii="宋体" w:hAnsi="宋体" w:hint="eastAsia"/>
          <w:color w:val="000000"/>
          <w:kern w:val="0"/>
          <w:sz w:val="24"/>
        </w:rPr>
        <w:t>基金托管人在收到授权通知当日回函向基金管理人确认，授权通知自托管人向基金管理人发出确认回函时生效。</w:t>
      </w:r>
      <w:r>
        <w:rPr>
          <w:rFonts w:ascii="宋体" w:hAnsi="宋体" w:hint="eastAsia"/>
          <w:sz w:val="24"/>
        </w:rPr>
        <w:t>基金管理人应在此后三个工作日内将授权通知的正本送交基金托管人。</w:t>
      </w:r>
      <w:r>
        <w:rPr>
          <w:rFonts w:ascii="宋体" w:hAnsi="宋体" w:hint="eastAsia"/>
          <w:kern w:val="0"/>
          <w:sz w:val="24"/>
        </w:rPr>
        <w:t>传真件或扫描件如与正本不一致，基金托管人以传真件或扫描件为准并及时通知基金管理人。</w:t>
      </w:r>
      <w:r>
        <w:rPr>
          <w:rFonts w:ascii="宋体" w:hAnsi="宋体" w:hint="eastAsia"/>
          <w:color w:val="000000"/>
          <w:kern w:val="0"/>
          <w:sz w:val="24"/>
        </w:rPr>
        <w:t>基金管理人和基金托管人对授权文件负有保密义务，其内容不得向授权人及相关操作人员以外的任何人泄露。但法律法规规定或有权机关要求的除外。</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69" w:name="_Toc77663007"/>
      <w:r>
        <w:rPr>
          <w:rFonts w:ascii="宋体" w:hAnsi="宋体" w:hint="eastAsia"/>
          <w:b/>
          <w:bCs/>
          <w:color w:val="000000"/>
          <w:sz w:val="24"/>
        </w:rPr>
        <w:lastRenderedPageBreak/>
        <w:t>（二）指令的内容</w:t>
      </w:r>
      <w:bookmarkEnd w:id="69"/>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指令是基金管理人</w:t>
      </w:r>
      <w:r>
        <w:rPr>
          <w:rFonts w:ascii="宋体" w:hAnsi="宋体" w:hint="eastAsia"/>
          <w:color w:val="000000"/>
          <w:kern w:val="0"/>
          <w:sz w:val="24"/>
        </w:rPr>
        <w:t>在运用基金资产时，向基金托管人发出的资金划拨及其他款项收付的指令。</w:t>
      </w:r>
      <w:bookmarkStart w:id="70" w:name="_Toc77663008"/>
      <w:r>
        <w:rPr>
          <w:rFonts w:ascii="宋体" w:hAnsi="宋体" w:hint="eastAsia"/>
          <w:color w:val="000000"/>
          <w:kern w:val="0"/>
          <w:sz w:val="24"/>
        </w:rPr>
        <w:t>指令应写明款项事由、支付时间、到账时间、金额、账户等执行支付所需内容，加盖预留印鉴。</w:t>
      </w:r>
    </w:p>
    <w:p w:rsidR="004B7B94" w:rsidRDefault="00E10EAD">
      <w:pPr>
        <w:spacing w:line="360" w:lineRule="auto"/>
        <w:ind w:firstLineChars="200" w:firstLine="480"/>
        <w:rPr>
          <w:rFonts w:ascii="宋体" w:hAnsi="宋体"/>
          <w:sz w:val="24"/>
        </w:rPr>
      </w:pPr>
      <w:r>
        <w:rPr>
          <w:rFonts w:ascii="宋体" w:hAnsi="宋体" w:hint="eastAsia"/>
          <w:sz w:val="24"/>
        </w:rPr>
        <w:t>基金管理人同意基金托管人根据其收到的中国证券登记结算有限责任公司或深、沪证券交易所的交易数据与中国证券登记结算有限责任公司进行交收。基金财产投资发生的所有场内交易的清算交收，由基金托管人根据相关登记结算公司的结算规则办理，基金管理人不需要另行出具指令。</w:t>
      </w:r>
    </w:p>
    <w:p w:rsidR="004B7B94" w:rsidRDefault="00E10EAD">
      <w:pPr>
        <w:spacing w:line="360" w:lineRule="auto"/>
        <w:ind w:firstLineChars="200" w:firstLine="480"/>
        <w:rPr>
          <w:rFonts w:ascii="宋体" w:hAnsi="宋体"/>
          <w:sz w:val="24"/>
        </w:rPr>
      </w:pPr>
      <w:r>
        <w:rPr>
          <w:rFonts w:ascii="宋体" w:hAnsi="宋体" w:hint="eastAsia"/>
          <w:sz w:val="24"/>
        </w:rPr>
        <w:t>遵照中登上海预交收制度、中登深圳结算互保金制度、中登上海深圳备付金管理办法等有关规定所做的结算备付金、保证</w:t>
      </w:r>
      <w:r>
        <w:rPr>
          <w:rFonts w:ascii="宋体" w:hAnsi="宋体" w:hint="eastAsia"/>
          <w:sz w:val="24"/>
        </w:rPr>
        <w:t>金及最低结算备付金的调整也视为基金管理人向基金托管人发出的有效指令，无须基金管理人向基金托管人另行出具指令，基金托管人应予以执行，但应及时通知基金管理人。</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sz w:val="24"/>
        </w:rPr>
        <w:t>本基金银行账户发生的银行结算费用等银行费用，由基金托管人直接从银行账户中扣划，无须基金管理人出具指令，但应及时通知基金管理人。</w:t>
      </w:r>
    </w:p>
    <w:p w:rsidR="004B7B94" w:rsidRDefault="00E10EAD">
      <w:pPr>
        <w:tabs>
          <w:tab w:val="left" w:pos="1260"/>
        </w:tabs>
        <w:spacing w:line="360" w:lineRule="auto"/>
        <w:ind w:firstLineChars="200" w:firstLine="482"/>
        <w:rPr>
          <w:rFonts w:ascii="宋体" w:hAnsi="宋体"/>
          <w:b/>
          <w:bCs/>
          <w:color w:val="000000"/>
          <w:sz w:val="24"/>
        </w:rPr>
      </w:pPr>
      <w:r>
        <w:rPr>
          <w:rFonts w:ascii="宋体" w:hAnsi="宋体" w:hint="eastAsia"/>
          <w:b/>
          <w:bCs/>
          <w:color w:val="000000"/>
          <w:sz w:val="24"/>
        </w:rPr>
        <w:t>（三）指令的发送、确认和执行</w:t>
      </w:r>
      <w:bookmarkEnd w:id="70"/>
      <w:r>
        <w:rPr>
          <w:rFonts w:ascii="宋体" w:hAnsi="宋体" w:hint="eastAsia"/>
          <w:b/>
          <w:bCs/>
          <w:color w:val="000000"/>
          <w:sz w:val="24"/>
        </w:rPr>
        <w:t>的时间和程序</w:t>
      </w:r>
    </w:p>
    <w:p w:rsidR="004B7B94" w:rsidRDefault="00E10EAD">
      <w:pPr>
        <w:tabs>
          <w:tab w:val="left" w:pos="1260"/>
        </w:tabs>
        <w:spacing w:line="360" w:lineRule="auto"/>
        <w:ind w:firstLineChars="200" w:firstLine="480"/>
        <w:rPr>
          <w:rFonts w:ascii="宋体" w:hAnsi="宋体" w:cs="Arial"/>
          <w:color w:val="000000"/>
          <w:sz w:val="24"/>
        </w:rPr>
      </w:pPr>
      <w:r>
        <w:rPr>
          <w:rFonts w:ascii="宋体" w:hAnsi="宋体" w:hint="eastAsia"/>
          <w:color w:val="000000"/>
          <w:kern w:val="0"/>
          <w:sz w:val="24"/>
        </w:rPr>
        <w:t>基金管理人应按照《基金法》及其他有关法规、《基金合同》和本协议的规定，在其合法的经营权限和交易权限内发送指令，被授权人应按照其授权权限发送指令。指令由“授权通知”确定的被授权人代表基金管</w:t>
      </w:r>
      <w:r>
        <w:rPr>
          <w:rFonts w:ascii="宋体" w:hAnsi="宋体" w:hint="eastAsia"/>
          <w:color w:val="000000"/>
          <w:kern w:val="0"/>
          <w:sz w:val="24"/>
        </w:rPr>
        <w:t>理人用传真或电子邮件发送扫描件的方式向基金托管人发送。发送后基金管理人及时通过电话与基金托管人确认指令内容。传真或扫描件以获得收件人（基金托管人）确认该指令已成功接收之时视为送达。因基金管理人未能及时与基金托管人进行指令确认，致使资金未能及时到账所造成的损失，基金托管人不承担责任。基金托管人依照授权书约定的方法确认指令有效后，方可执行指令。在每个交易日的</w:t>
      </w:r>
      <w:r>
        <w:rPr>
          <w:rFonts w:ascii="宋体" w:hAnsi="宋体"/>
          <w:color w:val="000000"/>
          <w:kern w:val="0"/>
          <w:sz w:val="24"/>
        </w:rPr>
        <w:t>13</w:t>
      </w:r>
      <w:r>
        <w:rPr>
          <w:rFonts w:ascii="宋体" w:hAnsi="宋体" w:hint="eastAsia"/>
          <w:color w:val="000000"/>
          <w:kern w:val="0"/>
          <w:sz w:val="24"/>
        </w:rPr>
        <w:t>：</w:t>
      </w:r>
      <w:r>
        <w:rPr>
          <w:rFonts w:ascii="宋体" w:hAnsi="宋体"/>
          <w:color w:val="000000"/>
          <w:kern w:val="0"/>
          <w:sz w:val="24"/>
        </w:rPr>
        <w:t>00</w:t>
      </w:r>
      <w:r>
        <w:rPr>
          <w:rFonts w:ascii="宋体" w:hAnsi="宋体" w:hint="eastAsia"/>
          <w:color w:val="000000"/>
          <w:kern w:val="0"/>
          <w:sz w:val="24"/>
        </w:rPr>
        <w:t>以后接收基金管理人发出的场内交易转账、赎回、</w:t>
      </w:r>
      <w:proofErr w:type="gramStart"/>
      <w:r>
        <w:rPr>
          <w:rFonts w:ascii="宋体" w:hAnsi="宋体" w:hint="eastAsia"/>
          <w:color w:val="000000"/>
          <w:kern w:val="0"/>
          <w:sz w:val="24"/>
        </w:rPr>
        <w:t>场外投资</w:t>
      </w:r>
      <w:proofErr w:type="gramEnd"/>
      <w:r>
        <w:rPr>
          <w:rFonts w:ascii="宋体" w:hAnsi="宋体" w:hint="eastAsia"/>
          <w:color w:val="000000"/>
          <w:kern w:val="0"/>
          <w:sz w:val="24"/>
        </w:rPr>
        <w:t>划款指令的，基金托管人不保证当日完成划转流程；在每个交易日的</w:t>
      </w:r>
      <w:r>
        <w:rPr>
          <w:rFonts w:ascii="宋体" w:hAnsi="宋体"/>
          <w:color w:val="000000"/>
          <w:kern w:val="0"/>
          <w:sz w:val="24"/>
        </w:rPr>
        <w:t>15</w:t>
      </w:r>
      <w:r>
        <w:rPr>
          <w:rFonts w:ascii="宋体" w:hAnsi="宋体" w:hint="eastAsia"/>
          <w:color w:val="000000"/>
          <w:kern w:val="0"/>
          <w:sz w:val="24"/>
        </w:rPr>
        <w:t>：</w:t>
      </w:r>
      <w:r>
        <w:rPr>
          <w:rFonts w:ascii="宋体" w:hAnsi="宋体"/>
          <w:color w:val="000000"/>
          <w:kern w:val="0"/>
          <w:sz w:val="24"/>
        </w:rPr>
        <w:t>30</w:t>
      </w:r>
      <w:r>
        <w:rPr>
          <w:rFonts w:ascii="宋体" w:hAnsi="宋体" w:hint="eastAsia"/>
          <w:color w:val="000000"/>
          <w:kern w:val="0"/>
          <w:sz w:val="24"/>
        </w:rPr>
        <w:t>以后接收基金管理人发出的其他划款指令，基金托管人不保证当日完成在银行的划付</w:t>
      </w:r>
      <w:r>
        <w:rPr>
          <w:rFonts w:ascii="宋体" w:hAnsi="宋体" w:hint="eastAsia"/>
          <w:color w:val="000000"/>
          <w:kern w:val="0"/>
          <w:sz w:val="24"/>
        </w:rPr>
        <w:lastRenderedPageBreak/>
        <w:t>流程。如基金管理人要求当天某一时点到账，必须至少提前</w:t>
      </w:r>
      <w:r>
        <w:rPr>
          <w:rFonts w:ascii="宋体" w:hAnsi="宋体" w:hint="eastAsia"/>
          <w:color w:val="000000"/>
          <w:kern w:val="0"/>
          <w:sz w:val="24"/>
        </w:rPr>
        <w:t>2</w:t>
      </w:r>
      <w:r>
        <w:rPr>
          <w:rFonts w:ascii="宋体" w:hAnsi="宋体" w:hint="eastAsia"/>
          <w:color w:val="000000"/>
          <w:kern w:val="0"/>
          <w:sz w:val="24"/>
        </w:rPr>
        <w:t>个工作小时向基金托管人发送付款指令并与基金托管人电话确认。基金管理人指令传输不及时，未能留出足够的执行时间，致使指令未能及时执行的，基金托管人不承担由此导致的损失。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r>
        <w:rPr>
          <w:rFonts w:ascii="宋体" w:hAnsi="宋体" w:hint="eastAsia"/>
          <w:color w:val="000000"/>
          <w:kern w:val="0"/>
          <w:sz w:val="24"/>
        </w:rPr>
        <w:t>。基金管理人应将银行间市场成交单加盖印章后传真给基金托管人。对于被授权人发出的指令，基金管理人不得否认其效力。基金托管人依照“授权通知”规定的方法确认指令的有效后，方可执行指令。</w:t>
      </w:r>
      <w:r>
        <w:rPr>
          <w:rFonts w:cs="Arial" w:hint="eastAsia"/>
          <w:color w:val="000000"/>
          <w:sz w:val="24"/>
        </w:rPr>
        <w:t>指令</w:t>
      </w:r>
      <w:r>
        <w:rPr>
          <w:rFonts w:ascii="宋体" w:hAnsi="宋体" w:cs="Arial" w:hint="eastAsia"/>
          <w:color w:val="000000"/>
          <w:sz w:val="24"/>
        </w:rPr>
        <w:t>执行完毕后，基金托管人应及时通知基金管理人。</w:t>
      </w:r>
    </w:p>
    <w:p w:rsidR="004B7B94" w:rsidRDefault="00E10EAD">
      <w:pPr>
        <w:tabs>
          <w:tab w:val="left" w:pos="1260"/>
        </w:tabs>
        <w:spacing w:line="360" w:lineRule="auto"/>
        <w:ind w:firstLineChars="200" w:firstLine="480"/>
        <w:rPr>
          <w:rFonts w:ascii="宋体" w:hAnsi="宋体"/>
          <w:b/>
          <w:sz w:val="24"/>
          <w:szCs w:val="21"/>
        </w:rPr>
      </w:pPr>
      <w:r>
        <w:rPr>
          <w:rFonts w:ascii="宋体" w:hAnsi="宋体" w:cs="Arial" w:hint="eastAsia"/>
          <w:color w:val="000000"/>
          <w:sz w:val="24"/>
        </w:rPr>
        <w:t>基金托管人仅根据基金管理人的授权文件对指令进行表面相符性的形式审查，对其真实性不承担责任。基金托管人在无过错情况下对执行基金管理人的指令对基金财产造成的损失不承担赔偿责任。</w:t>
      </w:r>
      <w:r>
        <w:rPr>
          <w:rFonts w:ascii="宋体" w:hAnsi="宋体" w:hint="eastAsia"/>
          <w:color w:val="000000"/>
          <w:kern w:val="0"/>
          <w:sz w:val="24"/>
        </w:rPr>
        <w:t>基金</w:t>
      </w:r>
      <w:r>
        <w:rPr>
          <w:rFonts w:ascii="宋体" w:hAnsi="宋体" w:hint="eastAsia"/>
          <w:sz w:val="24"/>
          <w:szCs w:val="21"/>
        </w:rPr>
        <w:t>托管人可以要求</w:t>
      </w:r>
      <w:r>
        <w:rPr>
          <w:rFonts w:ascii="宋体" w:hAnsi="宋体" w:hint="eastAsia"/>
          <w:color w:val="000000"/>
          <w:kern w:val="0"/>
          <w:sz w:val="24"/>
        </w:rPr>
        <w:t>基金</w:t>
      </w:r>
      <w:r>
        <w:rPr>
          <w:rFonts w:ascii="宋体" w:hAnsi="宋体" w:hint="eastAsia"/>
          <w:sz w:val="24"/>
          <w:szCs w:val="21"/>
        </w:rPr>
        <w:t>管理人传真提供相关交易凭证、合同或其他有效会计资料，以确保</w:t>
      </w:r>
      <w:r>
        <w:rPr>
          <w:rFonts w:ascii="宋体" w:hAnsi="宋体" w:hint="eastAsia"/>
          <w:color w:val="000000"/>
          <w:kern w:val="0"/>
          <w:sz w:val="24"/>
        </w:rPr>
        <w:t>基金</w:t>
      </w:r>
      <w:r>
        <w:rPr>
          <w:rFonts w:ascii="宋体" w:hAnsi="宋体" w:hint="eastAsia"/>
          <w:sz w:val="24"/>
          <w:szCs w:val="21"/>
        </w:rPr>
        <w:t>托管人有足够的资料来判断指令</w:t>
      </w:r>
      <w:r>
        <w:rPr>
          <w:rFonts w:ascii="宋体" w:hAnsi="宋体" w:hint="eastAsia"/>
          <w:sz w:val="24"/>
          <w:szCs w:val="21"/>
        </w:rPr>
        <w:t>的有效性。</w:t>
      </w:r>
      <w:r>
        <w:rPr>
          <w:rFonts w:ascii="宋体" w:hAnsi="宋体" w:hint="eastAsia"/>
          <w:b/>
          <w:sz w:val="24"/>
          <w:szCs w:val="21"/>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rsidR="004B7B94" w:rsidRDefault="00E10EAD">
      <w:pPr>
        <w:tabs>
          <w:tab w:val="left" w:pos="1260"/>
        </w:tabs>
        <w:spacing w:line="360" w:lineRule="auto"/>
        <w:ind w:firstLineChars="200" w:firstLine="480"/>
        <w:rPr>
          <w:rFonts w:ascii="宋体" w:hAnsi="宋体"/>
          <w:color w:val="000000"/>
          <w:kern w:val="0"/>
          <w:sz w:val="32"/>
        </w:rPr>
      </w:pPr>
      <w:r>
        <w:rPr>
          <w:rFonts w:ascii="宋体" w:hAnsi="宋体" w:hint="eastAsia"/>
          <w:sz w:val="24"/>
          <w:szCs w:val="21"/>
        </w:rPr>
        <w:t>经</w:t>
      </w:r>
      <w:r>
        <w:rPr>
          <w:rFonts w:ascii="宋体" w:hAnsi="宋体" w:hint="eastAsia"/>
          <w:color w:val="000000"/>
          <w:kern w:val="0"/>
          <w:sz w:val="24"/>
        </w:rPr>
        <w:t>基金</w:t>
      </w:r>
      <w:r>
        <w:rPr>
          <w:rFonts w:ascii="宋体" w:hAnsi="宋体" w:hint="eastAsia"/>
          <w:sz w:val="24"/>
          <w:szCs w:val="21"/>
        </w:rPr>
        <w:t>管理人与</w:t>
      </w:r>
      <w:r>
        <w:rPr>
          <w:rFonts w:ascii="宋体" w:hAnsi="宋体" w:hint="eastAsia"/>
          <w:color w:val="000000"/>
          <w:kern w:val="0"/>
          <w:sz w:val="24"/>
        </w:rPr>
        <w:t>基金</w:t>
      </w:r>
      <w:r>
        <w:rPr>
          <w:rFonts w:ascii="宋体" w:hAnsi="宋体" w:hint="eastAsia"/>
          <w:sz w:val="24"/>
          <w:szCs w:val="21"/>
        </w:rPr>
        <w:t>托管人协商一致后，可采用除上述发送传真、电子邮件发送扫描件之外的其他方式（如电子指令接收系统）进行指令的发送、确认与执行。</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（四）基金管理人发送错误指令的情形和处理程序</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基金管理人发送错误指令的情形</w:t>
      </w:r>
      <w:r>
        <w:rPr>
          <w:rFonts w:ascii="宋体" w:hAnsi="宋体" w:hint="eastAsia"/>
          <w:color w:val="000000"/>
          <w:kern w:val="0"/>
          <w:sz w:val="24"/>
        </w:rPr>
        <w:t>包括指令发送人员无权或超越权限发送指令及交割信息错误，指令中重要信息模糊不清或不全等。基金托管人在履行监督职能时，发现基金管理人的指令错误时，有权拒绝执行，并及时通知基金管理人改正，如基金管理人未及时纠正造成的损失由基金管理人承担。</w:t>
      </w:r>
      <w:r>
        <w:rPr>
          <w:rFonts w:ascii="宋体" w:hAnsi="宋体" w:hint="eastAsia"/>
          <w:color w:val="000000"/>
          <w:kern w:val="0"/>
          <w:sz w:val="24"/>
        </w:rPr>
        <w:t xml:space="preserve">  </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color w:val="000000"/>
          <w:kern w:val="0"/>
          <w:sz w:val="24"/>
        </w:rPr>
      </w:pPr>
      <w:r>
        <w:rPr>
          <w:rFonts w:ascii="宋体" w:hAnsi="宋体" w:hint="eastAsia"/>
          <w:color w:val="000000"/>
          <w:kern w:val="0"/>
          <w:sz w:val="24"/>
        </w:rPr>
        <w:lastRenderedPageBreak/>
        <w:t>（五）基金托管人依照法律、法规暂缓、拒绝执行指令的情形和处理程序</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基金托管人发现基金管理人发送的指令违反法律、法规和其他有关规定，或者违反基金合同约定的，应当视</w:t>
      </w:r>
      <w:r>
        <w:rPr>
          <w:rFonts w:ascii="宋体" w:hAnsi="宋体"/>
          <w:color w:val="000000"/>
          <w:kern w:val="0"/>
          <w:sz w:val="24"/>
        </w:rPr>
        <w:t>情况暂缓或</w:t>
      </w:r>
      <w:r>
        <w:rPr>
          <w:rFonts w:ascii="宋体" w:hAnsi="宋体" w:hint="eastAsia"/>
          <w:color w:val="000000"/>
          <w:kern w:val="0"/>
          <w:sz w:val="24"/>
        </w:rPr>
        <w:t>不予执行，并应及时以书面形式通知基金管理人纠正，基金管理人收到通知后应及时核对，并以书面形式对基金托管人</w:t>
      </w:r>
      <w:r>
        <w:rPr>
          <w:rFonts w:ascii="宋体" w:hAnsi="宋体" w:hint="eastAsia"/>
          <w:color w:val="000000"/>
          <w:kern w:val="0"/>
          <w:sz w:val="24"/>
        </w:rPr>
        <w:t>发出回函确认，由此造成的损失由基金管理人承担。</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（六）基金托管人未按照基金管理人指令执行的处理方法</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基金托管人由于自身原因造成未按照基金管理人发送的正常指令执行，给基金份额持有人造成损失的，对由此造成的直接经济损失负赔偿责任。</w:t>
      </w:r>
      <w:bookmarkStart w:id="71" w:name="_Toc77663009"/>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（七）被授权人</w:t>
      </w:r>
      <w:bookmarkEnd w:id="71"/>
      <w:r>
        <w:rPr>
          <w:rFonts w:ascii="宋体" w:hAnsi="宋体" w:hint="eastAsia"/>
          <w:b/>
          <w:bCs/>
          <w:color w:val="000000"/>
          <w:sz w:val="24"/>
        </w:rPr>
        <w:t>的更换</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基金管理人撤换被授权人或改变被授权人的权限，必须提前至少三个工作日，使用传真</w:t>
      </w:r>
      <w:r>
        <w:rPr>
          <w:rFonts w:ascii="宋体" w:hAnsi="宋体" w:hint="eastAsia"/>
          <w:sz w:val="24"/>
          <w:szCs w:val="21"/>
        </w:rPr>
        <w:t>或电子邮件发送扫描件方式</w:t>
      </w:r>
      <w:r>
        <w:rPr>
          <w:rFonts w:ascii="宋体" w:hAnsi="宋体" w:hint="eastAsia"/>
          <w:color w:val="000000"/>
          <w:kern w:val="0"/>
          <w:sz w:val="24"/>
        </w:rPr>
        <w:t>向基金托管人发出加盖公章</w:t>
      </w:r>
      <w:r>
        <w:rPr>
          <w:rFonts w:ascii="宋体" w:hAnsi="宋体" w:hint="eastAsia"/>
          <w:sz w:val="24"/>
          <w:szCs w:val="21"/>
        </w:rPr>
        <w:t>和法定代表人（或授权代表</w:t>
      </w:r>
      <w:r>
        <w:rPr>
          <w:rFonts w:ascii="宋体" w:hAnsi="宋体" w:hint="eastAsia"/>
          <w:color w:val="000000"/>
          <w:kern w:val="0"/>
          <w:sz w:val="24"/>
        </w:rPr>
        <w:t>）名章的被授权人变更通知（包括姓名、权限、预留印鉴和签字样本等），注明启用日期，同时电话通知基金托管人。被授权人变更通知自基金托管人收到传真</w:t>
      </w:r>
      <w:r>
        <w:rPr>
          <w:rFonts w:ascii="宋体" w:hAnsi="宋体" w:hint="eastAsia"/>
          <w:sz w:val="24"/>
          <w:szCs w:val="21"/>
        </w:rPr>
        <w:t>或电子邮件发送</w:t>
      </w:r>
      <w:proofErr w:type="gramStart"/>
      <w:r>
        <w:rPr>
          <w:rFonts w:ascii="宋体" w:hAnsi="宋体" w:hint="eastAsia"/>
          <w:sz w:val="24"/>
          <w:szCs w:val="21"/>
        </w:rPr>
        <w:t>扫描件</w:t>
      </w:r>
      <w:r>
        <w:rPr>
          <w:rFonts w:ascii="宋体" w:hAnsi="宋体" w:hint="eastAsia"/>
          <w:color w:val="000000"/>
          <w:kern w:val="0"/>
          <w:sz w:val="24"/>
        </w:rPr>
        <w:t>并电话</w:t>
      </w:r>
      <w:proofErr w:type="gramEnd"/>
      <w:r>
        <w:rPr>
          <w:rFonts w:ascii="宋体" w:hAnsi="宋体" w:hint="eastAsia"/>
          <w:color w:val="000000"/>
          <w:kern w:val="0"/>
          <w:sz w:val="24"/>
        </w:rPr>
        <w:t>确认后，方视为通知送达。被授权人变更通知在送达后</w:t>
      </w:r>
      <w:r>
        <w:rPr>
          <w:rFonts w:ascii="??" w:hAnsi="??" w:hint="eastAsia"/>
          <w:color w:val="000000"/>
          <w:sz w:val="18"/>
          <w:szCs w:val="18"/>
        </w:rPr>
        <w:t>，</w:t>
      </w:r>
      <w:r>
        <w:rPr>
          <w:rFonts w:ascii="宋体" w:hAnsi="宋体" w:hint="eastAsia"/>
          <w:color w:val="000000"/>
          <w:kern w:val="0"/>
          <w:sz w:val="24"/>
        </w:rPr>
        <w:t>自其上面注明的启用日期起开始生效。如通知送达的日期晚于通知中注明的启用日期的，则被授权人变更通知自通知送达时生效。被授权人变更通知生效前，基金托管人仍应按原约定执行指令，基金管理人不得否认其效力。基金管理人在此后七个工作日内将被授权人变更通知的正本送交基金托管人。基金托管人收到的传真件与正本不一</w:t>
      </w:r>
      <w:r>
        <w:rPr>
          <w:rFonts w:ascii="宋体" w:hAnsi="宋体" w:hint="eastAsia"/>
          <w:color w:val="000000"/>
          <w:kern w:val="0"/>
          <w:sz w:val="24"/>
        </w:rPr>
        <w:t>致时，以传真件为准。</w:t>
      </w:r>
    </w:p>
    <w:p w:rsidR="004B7B94" w:rsidRDefault="00E10EAD">
      <w:pPr>
        <w:autoSpaceDE w:val="0"/>
        <w:autoSpaceDN w:val="0"/>
        <w:adjustRightInd w:val="0"/>
        <w:spacing w:line="360" w:lineRule="auto"/>
        <w:ind w:firstLineChars="200" w:firstLine="482"/>
        <w:jc w:val="left"/>
        <w:rPr>
          <w:rFonts w:ascii="宋体" w:hAnsi="宋体"/>
          <w:b/>
          <w:sz w:val="24"/>
          <w:szCs w:val="21"/>
        </w:rPr>
      </w:pPr>
      <w:r>
        <w:rPr>
          <w:rFonts w:ascii="宋体" w:hAnsi="宋体" w:hint="eastAsia"/>
          <w:b/>
          <w:sz w:val="24"/>
          <w:szCs w:val="21"/>
        </w:rPr>
        <w:t>（八）相关责任</w:t>
      </w:r>
    </w:p>
    <w:p w:rsidR="004B7B94" w:rsidRDefault="00E10EAD">
      <w:pPr>
        <w:autoSpaceDE w:val="0"/>
        <w:autoSpaceDN w:val="0"/>
        <w:adjustRightInd w:val="0"/>
        <w:spacing w:line="360" w:lineRule="auto"/>
        <w:ind w:firstLineChars="200" w:firstLine="482"/>
        <w:jc w:val="left"/>
        <w:rPr>
          <w:rFonts w:ascii="宋体" w:hAnsi="宋体"/>
          <w:b/>
          <w:sz w:val="24"/>
          <w:szCs w:val="21"/>
        </w:rPr>
      </w:pPr>
      <w:r>
        <w:rPr>
          <w:rFonts w:ascii="宋体" w:hAnsi="宋体" w:hint="eastAsia"/>
          <w:b/>
          <w:sz w:val="24"/>
          <w:szCs w:val="21"/>
        </w:rPr>
        <w:t>基金托管人正确执行管理人符合本合同规定的划款指令，基金财产发生损失的，基金托管人不承担任何形式的责任。</w:t>
      </w:r>
    </w:p>
    <w:p w:rsidR="004B7B94" w:rsidRDefault="00E10EAD">
      <w:pPr>
        <w:autoSpaceDE w:val="0"/>
        <w:autoSpaceDN w:val="0"/>
        <w:adjustRightInd w:val="0"/>
        <w:spacing w:line="360" w:lineRule="auto"/>
        <w:ind w:firstLineChars="200" w:firstLine="480"/>
        <w:jc w:val="left"/>
        <w:rPr>
          <w:rFonts w:ascii="宋体" w:hAnsi="宋体"/>
          <w:sz w:val="24"/>
          <w:szCs w:val="21"/>
        </w:rPr>
      </w:pPr>
      <w:r>
        <w:rPr>
          <w:rFonts w:ascii="宋体" w:hAnsi="宋体" w:hint="eastAsia"/>
          <w:sz w:val="24"/>
          <w:szCs w:val="21"/>
        </w:rPr>
        <w:t>在遵循本合同约定的业务受理渠道及在指令预留处理的时间内，因</w:t>
      </w:r>
      <w:r>
        <w:rPr>
          <w:rFonts w:ascii="宋体" w:hAnsi="宋体" w:hint="eastAsia"/>
          <w:color w:val="000000"/>
          <w:kern w:val="0"/>
          <w:sz w:val="24"/>
        </w:rPr>
        <w:t>基金</w:t>
      </w:r>
      <w:r>
        <w:rPr>
          <w:rFonts w:ascii="宋体" w:hAnsi="宋体" w:hint="eastAsia"/>
          <w:sz w:val="24"/>
          <w:szCs w:val="21"/>
        </w:rPr>
        <w:t>托管</w:t>
      </w:r>
      <w:proofErr w:type="gramStart"/>
      <w:r>
        <w:rPr>
          <w:rFonts w:ascii="宋体" w:hAnsi="宋体" w:hint="eastAsia"/>
          <w:sz w:val="24"/>
          <w:szCs w:val="21"/>
        </w:rPr>
        <w:t>人原因</w:t>
      </w:r>
      <w:proofErr w:type="gramEnd"/>
      <w:r>
        <w:rPr>
          <w:rFonts w:ascii="宋体" w:hAnsi="宋体" w:hint="eastAsia"/>
          <w:sz w:val="24"/>
          <w:szCs w:val="21"/>
        </w:rPr>
        <w:t>未能及时或正确执行符合本合同规定的划款指令而导致基金财产受损的，</w:t>
      </w:r>
      <w:r>
        <w:rPr>
          <w:rFonts w:ascii="宋体" w:hAnsi="宋体" w:hint="eastAsia"/>
          <w:color w:val="000000"/>
          <w:kern w:val="0"/>
          <w:sz w:val="24"/>
        </w:rPr>
        <w:t>基金</w:t>
      </w:r>
      <w:r>
        <w:rPr>
          <w:rFonts w:ascii="宋体" w:hAnsi="宋体" w:hint="eastAsia"/>
          <w:sz w:val="24"/>
          <w:szCs w:val="21"/>
        </w:rPr>
        <w:t>托管人应承担相应的责任，但托管账户及其他账户余额不足或</w:t>
      </w:r>
      <w:r>
        <w:rPr>
          <w:rFonts w:ascii="宋体" w:hAnsi="宋体" w:hint="eastAsia"/>
          <w:color w:val="000000"/>
          <w:kern w:val="0"/>
          <w:sz w:val="24"/>
        </w:rPr>
        <w:t>基金</w:t>
      </w:r>
      <w:r>
        <w:rPr>
          <w:rFonts w:ascii="宋体" w:hAnsi="宋体" w:hint="eastAsia"/>
          <w:sz w:val="24"/>
          <w:szCs w:val="21"/>
        </w:rPr>
        <w:t>托</w:t>
      </w:r>
      <w:r>
        <w:rPr>
          <w:rFonts w:ascii="宋体" w:hAnsi="宋体" w:hint="eastAsia"/>
          <w:sz w:val="24"/>
          <w:szCs w:val="21"/>
        </w:rPr>
        <w:lastRenderedPageBreak/>
        <w:t>管人遇到不可抗力的情况除外。</w:t>
      </w:r>
    </w:p>
    <w:p w:rsidR="004B7B94" w:rsidRDefault="00E10EAD">
      <w:pPr>
        <w:pStyle w:val="1"/>
        <w:spacing w:before="0" w:after="0"/>
        <w:ind w:firstLineChars="200" w:firstLine="480"/>
        <w:jc w:val="left"/>
        <w:rPr>
          <w:rFonts w:hAnsi="宋体"/>
          <w:b w:val="0"/>
          <w:szCs w:val="21"/>
        </w:rPr>
      </w:pPr>
      <w:bookmarkStart w:id="72" w:name="_Toc27255"/>
      <w:bookmarkStart w:id="73" w:name="_Toc24877"/>
      <w:bookmarkStart w:id="74" w:name="_Toc6267"/>
      <w:bookmarkStart w:id="75" w:name="_Toc59200022"/>
      <w:bookmarkStart w:id="76" w:name="_Toc8920"/>
      <w:r>
        <w:rPr>
          <w:rFonts w:hAnsi="宋体" w:hint="eastAsia"/>
          <w:b w:val="0"/>
          <w:szCs w:val="21"/>
        </w:rPr>
        <w:t>如果基金管理人的划款指令存在事实上未经授权、欺诈、伪造等</w:t>
      </w:r>
      <w:proofErr w:type="gramStart"/>
      <w:r>
        <w:rPr>
          <w:rFonts w:hAnsi="宋体" w:hint="eastAsia"/>
          <w:b w:val="0"/>
          <w:szCs w:val="21"/>
        </w:rPr>
        <w:t>非基金托管人原因</w:t>
      </w:r>
      <w:proofErr w:type="gramEnd"/>
      <w:r>
        <w:rPr>
          <w:rFonts w:hAnsi="宋体" w:hint="eastAsia"/>
          <w:b w:val="0"/>
          <w:szCs w:val="21"/>
        </w:rPr>
        <w:t>造成的情形，只要基金托管人根据本合同相关约定验证有关印鉴与签名无误，基金托管人不承担因正确执行有关指令而给基金管理人或基金财产或任何第三人带来的损失。</w:t>
      </w:r>
      <w:bookmarkEnd w:id="72"/>
      <w:bookmarkEnd w:id="73"/>
      <w:bookmarkEnd w:id="74"/>
      <w:bookmarkEnd w:id="75"/>
      <w:bookmarkEnd w:id="76"/>
    </w:p>
    <w:p w:rsidR="004B7B94" w:rsidRDefault="00E10EAD">
      <w:pPr>
        <w:pStyle w:val="1"/>
        <w:spacing w:before="0" w:after="0"/>
        <w:ind w:firstLineChars="200" w:firstLine="482"/>
      </w:pPr>
      <w:bookmarkStart w:id="77" w:name="_Toc125892443"/>
      <w:bookmarkStart w:id="78" w:name="_Toc466788856"/>
      <w:bookmarkStart w:id="79" w:name="_Toc291504135"/>
      <w:bookmarkStart w:id="80" w:name="_Toc59200023"/>
      <w:bookmarkStart w:id="81" w:name="_Toc17363"/>
      <w:bookmarkStart w:id="82" w:name="_Toc523829997"/>
      <w:bookmarkStart w:id="83" w:name="_Toc6209"/>
      <w:bookmarkStart w:id="84" w:name="_Toc22454451"/>
      <w:r>
        <w:rPr>
          <w:rFonts w:hint="eastAsia"/>
        </w:rPr>
        <w:t>七、交易及清算交收安排</w:t>
      </w:r>
      <w:bookmarkEnd w:id="77"/>
      <w:bookmarkEnd w:id="78"/>
      <w:bookmarkEnd w:id="79"/>
      <w:bookmarkEnd w:id="80"/>
      <w:bookmarkEnd w:id="81"/>
      <w:bookmarkEnd w:id="82"/>
      <w:bookmarkEnd w:id="83"/>
      <w:bookmarkEnd w:id="84"/>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85" w:name="_Toc77663011"/>
      <w:bookmarkStart w:id="86" w:name="_Toc22454452"/>
      <w:r>
        <w:rPr>
          <w:rFonts w:ascii="宋体" w:hAnsi="宋体" w:hint="eastAsia"/>
          <w:b/>
          <w:bCs/>
          <w:color w:val="000000"/>
          <w:sz w:val="24"/>
        </w:rPr>
        <w:t>（一）代理证券、期货买卖的证券经营机构</w:t>
      </w:r>
      <w:bookmarkEnd w:id="85"/>
      <w:bookmarkEnd w:id="86"/>
      <w:r>
        <w:rPr>
          <w:rFonts w:ascii="宋体" w:hAnsi="宋体" w:hint="eastAsia"/>
          <w:b/>
          <w:bCs/>
          <w:color w:val="000000"/>
          <w:sz w:val="24"/>
        </w:rPr>
        <w:t>和期货经纪机构</w:t>
      </w:r>
    </w:p>
    <w:p w:rsidR="004B7B94" w:rsidRDefault="00E10EAD">
      <w:pPr>
        <w:tabs>
          <w:tab w:val="left" w:pos="1260"/>
        </w:tabs>
        <w:spacing w:line="360" w:lineRule="auto"/>
        <w:ind w:firstLine="420"/>
        <w:rPr>
          <w:rFonts w:ascii="宋体" w:hAnsi="宋体"/>
          <w:color w:val="000000"/>
          <w:kern w:val="0"/>
          <w:sz w:val="24"/>
        </w:rPr>
      </w:pPr>
      <w:r>
        <w:rPr>
          <w:rFonts w:ascii="宋体" w:hAnsi="宋体" w:hint="eastAsia"/>
          <w:color w:val="000000"/>
          <w:kern w:val="0"/>
          <w:sz w:val="24"/>
        </w:rPr>
        <w:t>基金管理人应制</w:t>
      </w:r>
      <w:proofErr w:type="gramStart"/>
      <w:r>
        <w:rPr>
          <w:rFonts w:ascii="宋体" w:hAnsi="宋体" w:hint="eastAsia"/>
          <w:color w:val="000000"/>
          <w:kern w:val="0"/>
          <w:sz w:val="24"/>
        </w:rPr>
        <w:t>定选择</w:t>
      </w:r>
      <w:proofErr w:type="gramEnd"/>
      <w:r>
        <w:rPr>
          <w:rFonts w:ascii="宋体" w:hAnsi="宋体" w:hint="eastAsia"/>
          <w:color w:val="000000"/>
          <w:kern w:val="0"/>
          <w:sz w:val="24"/>
        </w:rPr>
        <w:t>的标准和程序，并负责根据相关标准以及内部管理制度对有关证券经营机构进行考察后确定代理本基金证券买卖证券经营机构，并承担相应责任。基金管理人和被选择的证券经营机构签订交易单元租用协议，由基金管</w:t>
      </w:r>
      <w:r>
        <w:rPr>
          <w:rFonts w:ascii="宋体" w:hAnsi="宋体" w:hint="eastAsia"/>
          <w:color w:val="000000"/>
          <w:kern w:val="0"/>
          <w:sz w:val="24"/>
        </w:rPr>
        <w:t>理人通知基金托管人，并在法定信息披露公告中披露有关内容。</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基金管理人应及时将基金交易单元、佣金费率等基本信息以及变更情况及时以书面形式通知基金托管人。</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4B7B94" w:rsidRDefault="00E10EAD">
      <w:pPr>
        <w:tabs>
          <w:tab w:val="left" w:pos="1260"/>
        </w:tabs>
        <w:spacing w:line="360" w:lineRule="auto"/>
        <w:ind w:firstLineChars="200" w:firstLine="482"/>
        <w:rPr>
          <w:rFonts w:ascii="宋体" w:hAnsi="宋体"/>
          <w:b/>
          <w:bCs/>
          <w:color w:val="000000"/>
          <w:sz w:val="24"/>
        </w:rPr>
      </w:pPr>
      <w:bookmarkStart w:id="87" w:name="_Toc77663012"/>
      <w:r>
        <w:rPr>
          <w:rFonts w:ascii="宋体" w:hAnsi="宋体" w:hint="eastAsia"/>
          <w:b/>
          <w:bCs/>
          <w:color w:val="000000"/>
          <w:sz w:val="24"/>
        </w:rPr>
        <w:t>（二）基金投资证券后的清算</w:t>
      </w:r>
      <w:bookmarkEnd w:id="87"/>
      <w:r>
        <w:rPr>
          <w:rFonts w:ascii="宋体" w:hAnsi="宋体" w:hint="eastAsia"/>
          <w:b/>
          <w:bCs/>
          <w:color w:val="000000"/>
          <w:sz w:val="24"/>
        </w:rPr>
        <w:t>交收安排</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、基金管理人和基金托管人在基金清算和交收中的责任</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基金管理人与基金托管人应根据有关法律法规及相关业务规则，签订《证券交易资金</w:t>
      </w:r>
      <w:r>
        <w:rPr>
          <w:rFonts w:ascii="宋体" w:hAnsi="宋体" w:hint="eastAsia"/>
          <w:color w:val="000000"/>
          <w:kern w:val="0"/>
          <w:sz w:val="24"/>
        </w:rPr>
        <w:t>结算协议》，用以具体明确基金管理人与基金托管人在证券交易资金结算业务中的责任。</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对基金管理人的资金划拨指令，基金托管人在复核无误后应在规定期限内执行。</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本基金投资于证券发生的所有场内、场外交易的资金清算交割，全部由基金托管人负责办理。</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本基金证券投资的清算交割，由基金托管人通过中国证券登记结算有限责任公司上海分公司</w:t>
      </w:r>
      <w:r>
        <w:rPr>
          <w:rFonts w:ascii="宋体" w:hAnsi="宋体" w:hint="eastAsia"/>
          <w:color w:val="000000"/>
          <w:kern w:val="0"/>
          <w:sz w:val="24"/>
        </w:rPr>
        <w:t>/</w:t>
      </w:r>
      <w:r>
        <w:rPr>
          <w:rFonts w:ascii="宋体" w:hAnsi="宋体" w:hint="eastAsia"/>
          <w:color w:val="000000"/>
          <w:kern w:val="0"/>
          <w:sz w:val="24"/>
        </w:rPr>
        <w:t>深圳分公司及清算代理银行办理。</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如果因基金托管</w:t>
      </w:r>
      <w:proofErr w:type="gramStart"/>
      <w:r>
        <w:rPr>
          <w:rFonts w:ascii="宋体" w:hAnsi="宋体" w:hint="eastAsia"/>
          <w:color w:val="000000"/>
          <w:kern w:val="0"/>
          <w:sz w:val="24"/>
        </w:rPr>
        <w:t>人原因</w:t>
      </w:r>
      <w:proofErr w:type="gramEnd"/>
      <w:r>
        <w:rPr>
          <w:rFonts w:ascii="宋体" w:hAnsi="宋体" w:hint="eastAsia"/>
          <w:color w:val="000000"/>
          <w:kern w:val="0"/>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基金托管人应给予合理必要的配合，由此给基金造成的损失基金托管人不予承担。</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、基金出现超买或超卖的责任认定及处理程序</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基金托管人在履行监督职能时，如果发现基金投资证券过程中出现超买或超卖现象，应提醒基金管理人，由基金管理人负责解决，由此给基金造成</w:t>
      </w:r>
      <w:r>
        <w:rPr>
          <w:rFonts w:ascii="宋体" w:hAnsi="宋体" w:hint="eastAsia"/>
          <w:color w:val="000000"/>
          <w:kern w:val="0"/>
          <w:sz w:val="24"/>
        </w:rPr>
        <w:t>的损失由基金管理人承担。如果基金管理人发生超买行为，必须于</w:t>
      </w:r>
      <w:r>
        <w:rPr>
          <w:rFonts w:ascii="宋体" w:hAnsi="宋体" w:hint="eastAsia"/>
          <w:color w:val="000000"/>
          <w:kern w:val="0"/>
          <w:sz w:val="24"/>
        </w:rPr>
        <w:t xml:space="preserve"> T+1 </w:t>
      </w:r>
      <w:r>
        <w:rPr>
          <w:rFonts w:ascii="宋体" w:hAnsi="宋体" w:hint="eastAsia"/>
          <w:color w:val="000000"/>
          <w:kern w:val="0"/>
          <w:sz w:val="24"/>
        </w:rPr>
        <w:t>日上午</w:t>
      </w:r>
      <w:r>
        <w:rPr>
          <w:rFonts w:ascii="宋体" w:hAnsi="宋体" w:hint="eastAsia"/>
          <w:color w:val="000000"/>
          <w:kern w:val="0"/>
          <w:sz w:val="24"/>
        </w:rPr>
        <w:t xml:space="preserve"> 10</w:t>
      </w:r>
      <w:r>
        <w:rPr>
          <w:rFonts w:ascii="宋体" w:hAnsi="宋体" w:hint="eastAsia"/>
          <w:color w:val="000000"/>
          <w:kern w:val="0"/>
          <w:sz w:val="24"/>
        </w:rPr>
        <w:t>时之前备足头寸，用以完成清算交收。</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、基金无法按时支付证券清算款的责任认定及处理程序</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基金管理人应确保基金托管人在执行基金管理人发送的指令时，有足够的头寸进行交收。</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的资金头寸不足时，基金托管人有权拒绝基金管理人发送的划款指令，但应及时通知基金管理人。基金管理人在发送划款指令时应充分考虑基金托管人的划款处理时间。如由于基金管理人的原因导致无法按时支付证券清算款，由此给基金造成的损失基金托管人不予承担。</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在基金资金头寸</w:t>
      </w:r>
      <w:r>
        <w:rPr>
          <w:rFonts w:ascii="宋体" w:hAnsi="宋体" w:hint="eastAsia"/>
          <w:color w:val="000000"/>
          <w:kern w:val="0"/>
          <w:sz w:val="24"/>
        </w:rPr>
        <w:t>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88" w:name="_Toc77663013"/>
      <w:r>
        <w:rPr>
          <w:rFonts w:ascii="宋体" w:hAnsi="宋体" w:hint="eastAsia"/>
          <w:b/>
          <w:bCs/>
          <w:color w:val="000000"/>
          <w:sz w:val="24"/>
        </w:rPr>
        <w:t>（三）基金管理人与基金托管人进行资金、证券账目和交易记录的核对</w:t>
      </w:r>
      <w:bookmarkEnd w:id="88"/>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对基金的交易记录，由基金管理人按日进行核对。每日对外披露</w:t>
      </w:r>
      <w:r>
        <w:rPr>
          <w:rFonts w:ascii="彩虹粗仿宋" w:eastAsia="彩虹粗仿宋" w:hAnsi="宋体" w:cs="宋体" w:hint="eastAsia"/>
          <w:color w:val="000000"/>
          <w:kern w:val="0"/>
          <w:sz w:val="24"/>
        </w:rPr>
        <w:t>各类</w:t>
      </w:r>
      <w:r>
        <w:rPr>
          <w:rFonts w:ascii="宋体" w:hAnsi="宋体" w:hint="eastAsia"/>
          <w:color w:val="000000"/>
          <w:kern w:val="0"/>
          <w:sz w:val="24"/>
        </w:rPr>
        <w:t>基金</w:t>
      </w:r>
      <w:r>
        <w:rPr>
          <w:rFonts w:ascii="宋体" w:hAnsi="宋体" w:hint="eastAsia"/>
          <w:color w:val="000000"/>
          <w:kern w:val="0"/>
          <w:sz w:val="24"/>
        </w:rPr>
        <w:lastRenderedPageBreak/>
        <w:t>份额净值之前，必须保证当天所有实际交易记录与基金会计账簿上的交易记录完全一致。如果交易记录与会计账簿记录不一致，造成基金会计核算不完整或不真实，由此导致的损失由基金的会计责任方承担。基金管理人每一交易日以双方认可的方式在当日全部交易结束后，将编制的基金资金、证券账目传送给基金托管人，基金托管人按日进行账目核对。</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对实物</w:t>
      </w:r>
      <w:proofErr w:type="gramStart"/>
      <w:r>
        <w:rPr>
          <w:rFonts w:ascii="宋体" w:hAnsi="宋体" w:hint="eastAsia"/>
          <w:color w:val="000000"/>
          <w:kern w:val="0"/>
          <w:sz w:val="24"/>
        </w:rPr>
        <w:t>券</w:t>
      </w:r>
      <w:proofErr w:type="gramEnd"/>
      <w:r>
        <w:rPr>
          <w:rFonts w:ascii="宋体" w:hAnsi="宋体" w:hint="eastAsia"/>
          <w:color w:val="000000"/>
          <w:kern w:val="0"/>
          <w:sz w:val="24"/>
        </w:rPr>
        <w:t>账目，相关各方定期进行账实核对。</w:t>
      </w:r>
    </w:p>
    <w:p w:rsidR="004B7B94" w:rsidRDefault="00E10EAD">
      <w:pPr>
        <w:tabs>
          <w:tab w:val="left" w:pos="1260"/>
        </w:tabs>
        <w:spacing w:line="360" w:lineRule="auto"/>
        <w:ind w:firstLineChars="200" w:firstLine="480"/>
        <w:rPr>
          <w:rFonts w:ascii="宋体" w:hAnsi="宋体"/>
          <w:b/>
          <w:bCs/>
          <w:color w:val="000000"/>
          <w:kern w:val="0"/>
          <w:sz w:val="24"/>
        </w:rPr>
      </w:pPr>
      <w:r>
        <w:rPr>
          <w:rFonts w:ascii="宋体" w:hAnsi="宋体" w:hint="eastAsia"/>
          <w:color w:val="000000"/>
          <w:kern w:val="0"/>
          <w:sz w:val="24"/>
        </w:rPr>
        <w:t>基金托管人应按定期核对证券账户中的证券数量和种类。</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双方可协商采用电子对</w:t>
      </w:r>
      <w:proofErr w:type="gramStart"/>
      <w:r>
        <w:rPr>
          <w:rFonts w:ascii="宋体" w:hAnsi="宋体" w:hint="eastAsia"/>
          <w:color w:val="000000"/>
          <w:kern w:val="0"/>
          <w:sz w:val="24"/>
        </w:rPr>
        <w:t>账</w:t>
      </w:r>
      <w:proofErr w:type="gramEnd"/>
      <w:r>
        <w:rPr>
          <w:rFonts w:ascii="宋体" w:hAnsi="宋体" w:hint="eastAsia"/>
          <w:color w:val="000000"/>
          <w:kern w:val="0"/>
          <w:sz w:val="24"/>
        </w:rPr>
        <w:t>方式进行账目核对。</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89" w:name="_Toc523829999"/>
      <w:bookmarkStart w:id="90" w:name="_Toc466788858"/>
      <w:r>
        <w:rPr>
          <w:rFonts w:ascii="宋体" w:hAnsi="宋体" w:hint="eastAsia"/>
          <w:b/>
          <w:bCs/>
          <w:color w:val="000000"/>
          <w:sz w:val="24"/>
        </w:rPr>
        <w:t>（四）申购、赎回、转换开放式基金的资金清算和数据传递的时间</w:t>
      </w:r>
      <w:r>
        <w:rPr>
          <w:rFonts w:ascii="宋体" w:hAnsi="宋体" w:hint="eastAsia"/>
          <w:b/>
          <w:bCs/>
          <w:color w:val="000000"/>
          <w:sz w:val="24"/>
        </w:rPr>
        <w:t>、程序及托管协议当事人的责任界定</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、托管协议当事人在开放式基金的申购赎回、转换中的责任</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bCs/>
          <w:color w:val="000000"/>
          <w:kern w:val="0"/>
          <w:sz w:val="24"/>
        </w:rPr>
        <w:t>本基金的申购与赎回将通过销售机构进行。具体的销售</w:t>
      </w:r>
      <w:r>
        <w:rPr>
          <w:rFonts w:ascii="宋体" w:hAnsi="宋体" w:hint="eastAsia"/>
          <w:bCs/>
          <w:color w:val="000000"/>
          <w:kern w:val="0"/>
          <w:sz w:val="24"/>
        </w:rPr>
        <w:t>机构</w:t>
      </w:r>
      <w:r>
        <w:rPr>
          <w:rFonts w:ascii="宋体" w:hAnsi="宋体"/>
          <w:bCs/>
          <w:color w:val="000000"/>
          <w:kern w:val="0"/>
          <w:sz w:val="24"/>
        </w:rPr>
        <w:t>将由基金管理人在招募说明书或其他相关公告中列明。</w:t>
      </w:r>
      <w:r>
        <w:rPr>
          <w:rFonts w:ascii="宋体" w:hAnsi="宋体" w:hint="eastAsia"/>
          <w:color w:val="000000"/>
          <w:kern w:val="0"/>
          <w:sz w:val="24"/>
        </w:rPr>
        <w:t>由基金管理人或其</w:t>
      </w:r>
      <w:r>
        <w:rPr>
          <w:rFonts w:ascii="宋体" w:hAnsi="宋体"/>
          <w:color w:val="000000"/>
          <w:kern w:val="0"/>
          <w:sz w:val="24"/>
        </w:rPr>
        <w:t>委托的登记机构</w:t>
      </w:r>
      <w:r>
        <w:rPr>
          <w:rFonts w:ascii="宋体" w:hAnsi="宋体" w:hint="eastAsia"/>
          <w:color w:val="000000"/>
          <w:kern w:val="0"/>
          <w:sz w:val="24"/>
        </w:rPr>
        <w:t>办理基金份额的过户和登记，基金托管人负责接收并确认资金的到账情况，以及依照基金管理人的投资指令来划付赎回款项。</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、本基金的数据传递</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基金管理人应保证本基金（或本基金管理人委托）的登记机构每个工作日</w:t>
      </w:r>
      <w:r>
        <w:rPr>
          <w:rFonts w:ascii="宋体" w:hAnsi="宋体" w:hint="eastAsia"/>
          <w:color w:val="000000"/>
          <w:kern w:val="0"/>
          <w:sz w:val="24"/>
        </w:rPr>
        <w:t>15:00</w:t>
      </w:r>
      <w:r>
        <w:rPr>
          <w:rFonts w:ascii="宋体" w:hAnsi="宋体" w:hint="eastAsia"/>
          <w:color w:val="000000"/>
          <w:kern w:val="0"/>
          <w:sz w:val="24"/>
        </w:rPr>
        <w:t>前向基金托管人发送前一开放</w:t>
      </w:r>
      <w:proofErr w:type="gramStart"/>
      <w:r>
        <w:rPr>
          <w:rFonts w:ascii="宋体" w:hAnsi="宋体" w:hint="eastAsia"/>
          <w:color w:val="000000"/>
          <w:kern w:val="0"/>
          <w:sz w:val="24"/>
        </w:rPr>
        <w:t>日上述</w:t>
      </w:r>
      <w:proofErr w:type="gramEnd"/>
      <w:r>
        <w:rPr>
          <w:rFonts w:ascii="宋体" w:hAnsi="宋体" w:hint="eastAsia"/>
          <w:color w:val="000000"/>
          <w:kern w:val="0"/>
          <w:sz w:val="24"/>
        </w:rPr>
        <w:t>有关数据。基金管理人应对传递的申购、赎回数据的真实性、准确性和完整性负责。</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、本基金的资金清算</w:t>
      </w:r>
      <w:r>
        <w:rPr>
          <w:rFonts w:ascii="宋体" w:hAnsi="宋体" w:hint="eastAsia"/>
          <w:color w:val="000000"/>
          <w:kern w:val="0"/>
          <w:sz w:val="24"/>
        </w:rPr>
        <w:t xml:space="preserve"> </w:t>
      </w:r>
    </w:p>
    <w:p w:rsidR="004B7B94" w:rsidRDefault="00E10EA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hint="eastAsia"/>
          <w:sz w:val="24"/>
        </w:rPr>
        <w:t>）申购资金</w:t>
      </w:r>
    </w:p>
    <w:p w:rsidR="004B7B94" w:rsidRDefault="00E10EA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T+2</w:t>
      </w:r>
      <w:r>
        <w:rPr>
          <w:rFonts w:ascii="彩虹粗仿宋" w:eastAsia="彩虹粗仿宋" w:hAnsi="宋体" w:cs="Arial" w:hint="eastAsia"/>
          <w:sz w:val="24"/>
        </w:rPr>
        <w:t>日</w:t>
      </w:r>
      <w:r>
        <w:rPr>
          <w:rFonts w:ascii="彩虹粗仿宋" w:eastAsia="彩虹粗仿宋" w:hAnsi="宋体" w:cs="Arial" w:hint="eastAsia"/>
          <w:sz w:val="24"/>
        </w:rPr>
        <w:t>15:00</w:t>
      </w:r>
      <w:r>
        <w:rPr>
          <w:rFonts w:ascii="彩虹粗仿宋" w:eastAsia="彩虹粗仿宋" w:hAnsi="宋体" w:cs="Arial" w:hint="eastAsia"/>
          <w:sz w:val="24"/>
        </w:rPr>
        <w:t>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rsidR="004B7B94" w:rsidRDefault="00E10EAD">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w:t>
      </w:r>
      <w:r>
        <w:rPr>
          <w:rFonts w:ascii="彩虹粗仿宋" w:eastAsia="彩虹粗仿宋" w:hAnsi="宋体" w:cs="Arial" w:hint="eastAsia"/>
          <w:sz w:val="24"/>
        </w:rPr>
        <w:t>）赎回资金</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color w:val="000000"/>
          <w:kern w:val="0"/>
          <w:sz w:val="24"/>
        </w:rPr>
      </w:pPr>
      <w:r>
        <w:rPr>
          <w:rFonts w:ascii="彩虹粗仿宋" w:eastAsia="彩虹粗仿宋" w:hAnsi="宋体" w:cs="Arial" w:hint="eastAsia"/>
          <w:sz w:val="24"/>
        </w:rPr>
        <w:t>基金管理人在账户资金充足、划款指令于</w:t>
      </w:r>
      <w:r>
        <w:rPr>
          <w:rFonts w:ascii="彩虹粗仿宋" w:eastAsia="彩虹粗仿宋" w:hAnsi="宋体" w:cs="Arial" w:hint="eastAsia"/>
          <w:sz w:val="24"/>
        </w:rPr>
        <w:t>T+2</w:t>
      </w:r>
      <w:r>
        <w:rPr>
          <w:rFonts w:ascii="彩虹粗仿宋" w:eastAsia="彩虹粗仿宋" w:hAnsi="宋体" w:cs="Arial" w:hint="eastAsia"/>
          <w:sz w:val="24"/>
        </w:rPr>
        <w:t>日向基金托管人发出的条</w:t>
      </w:r>
      <w:r>
        <w:rPr>
          <w:rFonts w:ascii="彩虹粗仿宋" w:eastAsia="彩虹粗仿宋" w:hAnsi="宋体" w:cs="Arial" w:hint="eastAsia"/>
          <w:sz w:val="24"/>
        </w:rPr>
        <w:t>件下，基金托管人将赎回资金</w:t>
      </w:r>
      <w:r>
        <w:rPr>
          <w:rFonts w:ascii="彩虹粗仿宋" w:eastAsia="彩虹粗仿宋" w:hAnsi="宋体" w:cs="Arial" w:hint="eastAsia"/>
          <w:sz w:val="24"/>
        </w:rPr>
        <w:t>(</w:t>
      </w:r>
      <w:r>
        <w:rPr>
          <w:rFonts w:ascii="彩虹粗仿宋" w:eastAsia="彩虹粗仿宋" w:hAnsi="宋体" w:cs="Arial" w:hint="eastAsia"/>
          <w:sz w:val="24"/>
        </w:rPr>
        <w:t>含赎回费</w:t>
      </w:r>
      <w:r>
        <w:rPr>
          <w:rFonts w:ascii="彩虹粗仿宋" w:eastAsia="彩虹粗仿宋" w:hAnsi="宋体" w:cs="Arial" w:hint="eastAsia"/>
          <w:sz w:val="24"/>
        </w:rPr>
        <w:t>)</w:t>
      </w:r>
      <w:r>
        <w:rPr>
          <w:rFonts w:ascii="彩虹粗仿宋" w:eastAsia="彩虹粗仿宋" w:hAnsi="宋体" w:cs="Arial" w:hint="eastAsia"/>
          <w:sz w:val="24"/>
        </w:rPr>
        <w:t>于</w:t>
      </w:r>
      <w:r>
        <w:rPr>
          <w:rFonts w:ascii="彩虹粗仿宋" w:eastAsia="彩虹粗仿宋" w:hAnsi="宋体" w:cs="Arial" w:hint="eastAsia"/>
          <w:sz w:val="24"/>
        </w:rPr>
        <w:t>T+3</w:t>
      </w:r>
      <w:r>
        <w:rPr>
          <w:rFonts w:ascii="彩虹粗仿宋" w:eastAsia="彩虹粗仿宋" w:hAnsi="宋体" w:cs="Arial" w:hint="eastAsia"/>
          <w:sz w:val="24"/>
        </w:rPr>
        <w:t>日上午</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管理人指定的资金清算的专用账户。特殊情况时，双方协商处理。划款当日基金管理人和基金托管人对赎回资金进行账务处理。</w:t>
      </w:r>
    </w:p>
    <w:p w:rsidR="004B7B94" w:rsidRDefault="00E10EAD">
      <w:pPr>
        <w:tabs>
          <w:tab w:val="left" w:pos="3780"/>
        </w:tabs>
        <w:autoSpaceDE w:val="0"/>
        <w:autoSpaceDN w:val="0"/>
        <w:spacing w:line="360" w:lineRule="auto"/>
        <w:ind w:firstLineChars="150" w:firstLine="361"/>
        <w:textAlignment w:val="bottom"/>
        <w:outlineLvl w:val="0"/>
        <w:rPr>
          <w:rFonts w:ascii="宋体" w:hAnsi="宋体"/>
          <w:b/>
          <w:bCs/>
          <w:color w:val="000000"/>
          <w:sz w:val="24"/>
        </w:rPr>
      </w:pPr>
      <w:r>
        <w:rPr>
          <w:rFonts w:ascii="宋体" w:hAnsi="宋体" w:hint="eastAsia"/>
          <w:b/>
          <w:bCs/>
          <w:color w:val="000000"/>
          <w:sz w:val="24"/>
        </w:rPr>
        <w:t>（五）基金收益分配的清算交收安排</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b/>
          <w:bCs/>
          <w:color w:val="000000"/>
          <w:sz w:val="24"/>
        </w:rPr>
        <w:t>、</w:t>
      </w:r>
      <w:r>
        <w:rPr>
          <w:rFonts w:ascii="宋体" w:hAnsi="宋体" w:hint="eastAsia"/>
          <w:color w:val="000000"/>
          <w:kern w:val="0"/>
          <w:sz w:val="24"/>
        </w:rPr>
        <w:t>基金管理人决定收益分配方案并通知基金托管人，经基金托管人复核后公告。</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b/>
          <w:bCs/>
          <w:color w:val="000000"/>
          <w:sz w:val="24"/>
        </w:rPr>
        <w:t>、</w:t>
      </w:r>
      <w:r>
        <w:rPr>
          <w:rFonts w:ascii="宋体" w:hAnsi="宋体" w:hint="eastAsia"/>
          <w:color w:val="000000"/>
          <w:kern w:val="0"/>
          <w:sz w:val="24"/>
        </w:rPr>
        <w:t>基金托管人和基金管理人对基金收益分配进行账务处理并核对后，基金管理人应及时向基金托管人发送分发现金红利的划款指令，基金托管人依据划款指令在指定</w:t>
      </w:r>
      <w:proofErr w:type="gramStart"/>
      <w:r>
        <w:rPr>
          <w:rFonts w:ascii="宋体" w:hAnsi="宋体" w:hint="eastAsia"/>
          <w:color w:val="000000"/>
          <w:kern w:val="0"/>
          <w:sz w:val="24"/>
        </w:rPr>
        <w:t>划付日</w:t>
      </w:r>
      <w:proofErr w:type="gramEnd"/>
      <w:r>
        <w:rPr>
          <w:rFonts w:ascii="宋体" w:hAnsi="宋体" w:hint="eastAsia"/>
          <w:color w:val="000000"/>
          <w:kern w:val="0"/>
          <w:sz w:val="24"/>
        </w:rPr>
        <w:t>及时将资金划至基金管理人指定账户。</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b/>
          <w:bCs/>
          <w:color w:val="000000"/>
          <w:sz w:val="24"/>
        </w:rPr>
        <w:t>、</w:t>
      </w:r>
      <w:r>
        <w:rPr>
          <w:rFonts w:ascii="宋体" w:hAnsi="宋体" w:hint="eastAsia"/>
          <w:color w:val="000000"/>
          <w:kern w:val="0"/>
          <w:sz w:val="24"/>
        </w:rPr>
        <w:t>基金管理人在下达分红款支付指令时，应给</w:t>
      </w:r>
      <w:r>
        <w:rPr>
          <w:rFonts w:ascii="宋体" w:hAnsi="宋体" w:hint="eastAsia"/>
          <w:color w:val="000000"/>
          <w:kern w:val="0"/>
          <w:sz w:val="24"/>
        </w:rPr>
        <w:t>基金托管人留出必需的划款时间。</w:t>
      </w:r>
      <w:bookmarkStart w:id="91" w:name="_Toc125892444"/>
    </w:p>
    <w:p w:rsidR="004B7B94" w:rsidRDefault="00E10EAD">
      <w:pPr>
        <w:pStyle w:val="1"/>
        <w:spacing w:before="0" w:after="0"/>
        <w:ind w:firstLineChars="200" w:firstLine="482"/>
      </w:pPr>
      <w:bookmarkStart w:id="92" w:name="_Toc10361"/>
      <w:bookmarkStart w:id="93" w:name="_Toc59200024"/>
      <w:bookmarkStart w:id="94" w:name="_Toc24547"/>
      <w:bookmarkStart w:id="95" w:name="_Toc291504136"/>
      <w:r>
        <w:rPr>
          <w:rFonts w:hint="eastAsia"/>
        </w:rPr>
        <w:t>八、基金资产净值计算和会计核算</w:t>
      </w:r>
      <w:bookmarkEnd w:id="89"/>
      <w:bookmarkEnd w:id="90"/>
      <w:bookmarkEnd w:id="91"/>
      <w:bookmarkEnd w:id="92"/>
      <w:bookmarkEnd w:id="93"/>
      <w:bookmarkEnd w:id="94"/>
      <w:bookmarkEnd w:id="95"/>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96" w:name="_Toc77663017"/>
      <w:r>
        <w:rPr>
          <w:rFonts w:ascii="宋体" w:hAnsi="宋体" w:hint="eastAsia"/>
          <w:b/>
          <w:bCs/>
          <w:color w:val="000000"/>
          <w:sz w:val="24"/>
        </w:rPr>
        <w:t>（一）基金资产净值及基金份额净值的计算与复核</w:t>
      </w:r>
      <w:bookmarkEnd w:id="96"/>
    </w:p>
    <w:p w:rsidR="004B7B94" w:rsidRDefault="00E10EAD">
      <w:pPr>
        <w:autoSpaceDE w:val="0"/>
        <w:autoSpaceDN w:val="0"/>
        <w:adjustRightInd w:val="0"/>
        <w:spacing w:line="360" w:lineRule="auto"/>
        <w:ind w:firstLineChars="200" w:firstLine="480"/>
        <w:rPr>
          <w:rFonts w:ascii="宋体" w:cs="宋体"/>
          <w:color w:val="000000"/>
          <w:kern w:val="0"/>
          <w:sz w:val="24"/>
        </w:rPr>
      </w:pPr>
      <w:r>
        <w:rPr>
          <w:rFonts w:ascii="宋体" w:hAnsi="宋体" w:hint="eastAsia"/>
          <w:color w:val="000000"/>
          <w:kern w:val="0"/>
          <w:sz w:val="24"/>
        </w:rPr>
        <w:t>基金资产净值是指基金资产总值减去负债后的价值。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w:t>
      </w:r>
      <w:proofErr w:type="gramStart"/>
      <w:r>
        <w:rPr>
          <w:rFonts w:ascii="宋体" w:hAnsi="宋体" w:hint="eastAsia"/>
          <w:color w:val="000000"/>
          <w:kern w:val="0"/>
          <w:sz w:val="24"/>
        </w:rPr>
        <w:t>应每个</w:t>
      </w:r>
      <w:proofErr w:type="gramEnd"/>
      <w:r>
        <w:rPr>
          <w:rFonts w:ascii="宋体" w:hAnsi="宋体" w:hint="eastAsia"/>
          <w:color w:val="000000"/>
          <w:kern w:val="0"/>
          <w:sz w:val="24"/>
        </w:rPr>
        <w:t>工作日对基金资产估值。</w:t>
      </w:r>
      <w:r>
        <w:rPr>
          <w:rFonts w:ascii="宋体" w:hAnsi="宋体"/>
          <w:color w:val="000000"/>
          <w:kern w:val="0"/>
          <w:sz w:val="24"/>
        </w:rPr>
        <w:t>估值原则应符合《基金合同》、</w:t>
      </w:r>
      <w:r>
        <w:rPr>
          <w:rFonts w:ascii="宋体" w:hAnsi="宋体" w:hint="eastAsia"/>
          <w:color w:val="000000"/>
          <w:kern w:val="0"/>
          <w:sz w:val="24"/>
        </w:rPr>
        <w:t>《</w:t>
      </w:r>
      <w:bookmarkStart w:id="97" w:name="_Toc187224006"/>
      <w:r>
        <w:rPr>
          <w:rFonts w:ascii="黑体" w:hAnsi="宋体" w:hint="eastAsia"/>
          <w:color w:val="000000"/>
          <w:sz w:val="24"/>
        </w:rPr>
        <w:t>关于证券投资基金执行</w:t>
      </w:r>
      <w:r>
        <w:rPr>
          <w:rFonts w:ascii="黑体" w:hAnsi="宋体" w:hint="eastAsia"/>
          <w:color w:val="000000"/>
          <w:sz w:val="24"/>
        </w:rPr>
        <w:t>&lt;</w:t>
      </w:r>
      <w:r>
        <w:rPr>
          <w:rFonts w:ascii="黑体" w:hAnsi="宋体" w:hint="eastAsia"/>
          <w:color w:val="000000"/>
          <w:sz w:val="24"/>
        </w:rPr>
        <w:t>企业会计准则</w:t>
      </w:r>
      <w:r>
        <w:rPr>
          <w:rFonts w:ascii="黑体" w:hAnsi="宋体" w:hint="eastAsia"/>
          <w:color w:val="000000"/>
          <w:sz w:val="24"/>
        </w:rPr>
        <w:t>&gt;</w:t>
      </w:r>
      <w:r>
        <w:rPr>
          <w:rFonts w:ascii="黑体" w:hAnsi="宋体" w:hint="eastAsia"/>
          <w:color w:val="000000"/>
          <w:sz w:val="24"/>
        </w:rPr>
        <w:t>估值业务及份额净值计价有关事项的通知</w:t>
      </w:r>
      <w:bookmarkEnd w:id="97"/>
      <w:r>
        <w:rPr>
          <w:rFonts w:ascii="宋体" w:hAnsi="宋体" w:hint="eastAsia"/>
          <w:color w:val="000000"/>
          <w:kern w:val="0"/>
          <w:sz w:val="24"/>
        </w:rPr>
        <w:t>》</w:t>
      </w:r>
      <w:r>
        <w:rPr>
          <w:rFonts w:ascii="宋体" w:hAnsi="宋体"/>
          <w:color w:val="000000"/>
          <w:kern w:val="0"/>
          <w:sz w:val="24"/>
        </w:rPr>
        <w:t>及其他法律、法规的规定。</w:t>
      </w:r>
      <w:r>
        <w:rPr>
          <w:rFonts w:ascii="宋体" w:hAnsi="宋体" w:hint="eastAsia"/>
          <w:color w:val="000000"/>
          <w:kern w:val="0"/>
          <w:sz w:val="24"/>
        </w:rPr>
        <w:t>各类基金份额的基金资产净值和基金份额净值由基金管理人负责计算，基金托管人复核。基金管理人应于每个工作日交易结束后计算当日的</w:t>
      </w:r>
      <w:r>
        <w:rPr>
          <w:rFonts w:ascii="彩虹粗仿宋" w:eastAsia="彩虹粗仿宋" w:hAnsi="宋体" w:cs="Arial" w:hint="eastAsia"/>
          <w:sz w:val="24"/>
        </w:rPr>
        <w:t>各类基金份额的</w:t>
      </w:r>
      <w:r>
        <w:rPr>
          <w:rFonts w:ascii="宋体" w:hAnsi="宋体" w:hint="eastAsia"/>
          <w:color w:val="000000"/>
          <w:kern w:val="0"/>
          <w:sz w:val="24"/>
        </w:rPr>
        <w:t>基金资产净值和基金份额净值，以约定方式发送给基金托管人。基金托管人对净值计算结果复核后，将复核结果反馈给基金管理人，由基金管理人对各类基金份额净值予以公布。</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本基金按以下方法估值：</w:t>
      </w:r>
      <w:r>
        <w:rPr>
          <w:rFonts w:ascii="宋体" w:hAnsi="宋体" w:hint="eastAsia"/>
          <w:color w:val="000000"/>
          <w:kern w:val="0"/>
          <w:sz w:val="24"/>
        </w:rPr>
        <w:t xml:space="preserve"> </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、证券交易所上市的有价证券的估值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w:t>
      </w:r>
      <w:r>
        <w:rPr>
          <w:rFonts w:ascii="宋体" w:hAnsi="宋体" w:hint="eastAsia"/>
          <w:color w:val="000000"/>
          <w:kern w:val="0"/>
          <w:sz w:val="24"/>
        </w:rPr>
        <w:t>1</w:t>
      </w:r>
      <w:r>
        <w:rPr>
          <w:rFonts w:ascii="宋体" w:hAnsi="宋体" w:hint="eastAsia"/>
          <w:color w:val="000000"/>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7B94" w:rsidRDefault="00E10EAD">
      <w:pPr>
        <w:spacing w:line="360" w:lineRule="auto"/>
        <w:ind w:firstLineChars="200" w:firstLine="480"/>
        <w:rPr>
          <w:bCs/>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w:t>
      </w:r>
      <w:r>
        <w:rPr>
          <w:rFonts w:hint="eastAsia"/>
          <w:bCs/>
          <w:sz w:val="24"/>
        </w:rPr>
        <w:t>在交易所市场上市交易或挂牌转让的固定收益品种（另有规定的除外），选取第三方估值机构提供的相应品种当日的估值净价估值。</w:t>
      </w:r>
    </w:p>
    <w:p w:rsidR="004B7B94" w:rsidRDefault="00E10EA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）对在交易所市场上市交易的可转换债券，按照每日收盘价作为估值全价。</w:t>
      </w:r>
    </w:p>
    <w:p w:rsidR="004B7B94" w:rsidRDefault="00E10EAD">
      <w:pPr>
        <w:tabs>
          <w:tab w:val="left" w:pos="1260"/>
        </w:tabs>
        <w:spacing w:line="360" w:lineRule="auto"/>
        <w:ind w:firstLineChars="200" w:firstLine="480"/>
        <w:rPr>
          <w:rFonts w:ascii="宋体" w:hAnsi="宋体"/>
          <w:color w:val="000000"/>
          <w:kern w:val="0"/>
          <w:sz w:val="24"/>
        </w:rPr>
      </w:pPr>
      <w:r>
        <w:rPr>
          <w:rFonts w:hint="eastAsia"/>
          <w:bCs/>
          <w:sz w:val="24"/>
        </w:rPr>
        <w:t>（</w:t>
      </w:r>
      <w:r>
        <w:rPr>
          <w:rFonts w:hint="eastAsia"/>
          <w:bCs/>
          <w:sz w:val="24"/>
        </w:rPr>
        <w:t>4</w:t>
      </w:r>
      <w:r>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、处于未上市期间的有价证券应区分如下情况处理：</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）首次公开发行未上市的股票、债券和权证，采用估</w:t>
      </w:r>
      <w:r>
        <w:rPr>
          <w:rFonts w:ascii="宋体" w:hAnsi="宋体" w:hint="eastAsia"/>
          <w:color w:val="000000"/>
          <w:kern w:val="0"/>
          <w:sz w:val="24"/>
        </w:rPr>
        <w:t>值技术确定公允价值，在估值技术难以可靠计量公允价值的情况下，按成本估值；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、全国银行间债券市场交易的债券、资产支持证券等固定收益品种，采用估值技术确定公允价值。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、因持有股票而享有的配股权，采用估值技术确定公允价值，在估值技</w:t>
      </w:r>
      <w:r>
        <w:rPr>
          <w:rFonts w:ascii="宋体" w:hAnsi="宋体" w:hint="eastAsia"/>
          <w:color w:val="000000"/>
          <w:kern w:val="0"/>
          <w:sz w:val="24"/>
        </w:rPr>
        <w:lastRenderedPageBreak/>
        <w:t>术难以可靠计量公允价值的情况下，按成本估值。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、中小企业私募债券，采用估值技术确定公允价值，在估值技术难以可</w:t>
      </w:r>
      <w:r>
        <w:rPr>
          <w:rFonts w:ascii="宋体" w:hAnsi="宋体" w:hint="eastAsia"/>
          <w:color w:val="000000"/>
          <w:kern w:val="0"/>
          <w:sz w:val="24"/>
        </w:rPr>
        <w:t>靠计量公允价值的情况下，按成本估值。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color w:val="000000"/>
          <w:kern w:val="0"/>
          <w:sz w:val="24"/>
        </w:rPr>
        <w:t>6</w:t>
      </w:r>
      <w:r>
        <w:rPr>
          <w:rFonts w:ascii="宋体" w:hAnsi="宋体" w:hint="eastAsia"/>
          <w:color w:val="000000"/>
          <w:kern w:val="0"/>
          <w:sz w:val="24"/>
        </w:rPr>
        <w:t>、本基金投资股指期货合约，一般以估值当日结算价进行估值，估值当日无结算价的，且最近交易日后经济环境未发生重大变化的，采用最近交易日结算价估值。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7</w:t>
      </w:r>
      <w:r>
        <w:rPr>
          <w:rFonts w:ascii="宋体" w:hAnsi="宋体" w:hint="eastAsia"/>
          <w:color w:val="000000"/>
          <w:kern w:val="0"/>
          <w:sz w:val="24"/>
        </w:rPr>
        <w:t>、同一债券同时在两个或两个以上市场交易的，按债券所处的市场分别估值。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color w:val="000000"/>
          <w:kern w:val="0"/>
          <w:sz w:val="24"/>
        </w:rPr>
        <w:t>8</w:t>
      </w:r>
      <w:r>
        <w:rPr>
          <w:rFonts w:ascii="宋体" w:hAnsi="宋体" w:hint="eastAsia"/>
          <w:color w:val="000000"/>
          <w:kern w:val="0"/>
          <w:sz w:val="24"/>
        </w:rPr>
        <w:t>、本基金投资存托凭证的估值核算，依照境内上市交易的股票执行。</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9</w:t>
      </w:r>
      <w:r>
        <w:rPr>
          <w:rFonts w:ascii="宋体" w:hAnsi="宋体" w:hint="eastAsia"/>
          <w:color w:val="000000"/>
          <w:kern w:val="0"/>
          <w:sz w:val="24"/>
        </w:rPr>
        <w:t>、如有确凿证据表明按上述方法进行估值不能客观反映其公允价值的，基金管理人可根据具体情况与基金托管人商定后，按最能反映公允价值的价格估值。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10</w:t>
      </w:r>
      <w:r>
        <w:rPr>
          <w:rFonts w:ascii="宋体" w:hAnsi="宋体" w:hint="eastAsia"/>
          <w:color w:val="000000"/>
          <w:kern w:val="0"/>
          <w:sz w:val="24"/>
        </w:rPr>
        <w:t>、相关法律法规以及监管部门有强制规定的，从其规定</w:t>
      </w:r>
      <w:r>
        <w:rPr>
          <w:rFonts w:ascii="宋体" w:hAnsi="宋体" w:hint="eastAsia"/>
          <w:color w:val="000000"/>
          <w:kern w:val="0"/>
          <w:sz w:val="24"/>
        </w:rPr>
        <w:t>。如有新增事项，按国家最新规定估值。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color w:val="000000"/>
          <w:kern w:val="0"/>
          <w:sz w:val="24"/>
        </w:rPr>
      </w:pPr>
      <w:r>
        <w:rPr>
          <w:rFonts w:ascii="宋体" w:hAnsi="宋体" w:hint="eastAsia"/>
          <w:color w:val="000000"/>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（二）净值差错处理</w:t>
      </w:r>
    </w:p>
    <w:p w:rsidR="004B7B94" w:rsidRDefault="00E10EAD">
      <w:pPr>
        <w:autoSpaceDE w:val="0"/>
        <w:autoSpaceDN w:val="0"/>
        <w:adjustRightInd w:val="0"/>
        <w:spacing w:line="360" w:lineRule="auto"/>
        <w:ind w:firstLineChars="200" w:firstLine="480"/>
        <w:rPr>
          <w:rFonts w:ascii="宋体" w:hAnsi="宋体"/>
          <w:bCs/>
          <w:color w:val="000000"/>
          <w:kern w:val="0"/>
          <w:sz w:val="24"/>
        </w:rPr>
      </w:pPr>
      <w:r>
        <w:rPr>
          <w:rFonts w:ascii="宋体" w:hAnsi="宋体"/>
          <w:bCs/>
          <w:color w:val="000000"/>
          <w:kern w:val="0"/>
          <w:sz w:val="24"/>
        </w:rPr>
        <w:t>基金管理人和基金托管人将采取必要、适当、合理的措施确保基金资产估值的准确性、及时性。当</w:t>
      </w:r>
      <w:r>
        <w:rPr>
          <w:rStyle w:val="read"/>
          <w:rFonts w:ascii="彩虹粗仿宋" w:eastAsia="彩虹粗仿宋" w:hint="eastAsia"/>
          <w:sz w:val="24"/>
        </w:rPr>
        <w:t>任一类</w:t>
      </w:r>
      <w:r>
        <w:rPr>
          <w:rFonts w:ascii="宋体" w:hAnsi="宋体"/>
          <w:bCs/>
          <w:color w:val="000000"/>
          <w:kern w:val="0"/>
          <w:sz w:val="24"/>
        </w:rPr>
        <w:t>基金份额净值小数点后</w:t>
      </w:r>
      <w:r>
        <w:rPr>
          <w:rFonts w:ascii="宋体" w:hAnsi="宋体"/>
          <w:bCs/>
          <w:color w:val="000000"/>
          <w:kern w:val="0"/>
          <w:sz w:val="24"/>
        </w:rPr>
        <w:t>4</w:t>
      </w:r>
      <w:r>
        <w:rPr>
          <w:rFonts w:ascii="宋体" w:hAnsi="宋体"/>
          <w:bCs/>
          <w:color w:val="000000"/>
          <w:kern w:val="0"/>
          <w:sz w:val="24"/>
        </w:rPr>
        <w:t>位以内</w:t>
      </w:r>
      <w:r>
        <w:rPr>
          <w:rFonts w:ascii="宋体" w:hAnsi="宋体" w:hint="eastAsia"/>
          <w:bCs/>
          <w:color w:val="000000"/>
          <w:kern w:val="0"/>
          <w:sz w:val="24"/>
        </w:rPr>
        <w:t>（</w:t>
      </w:r>
      <w:r>
        <w:rPr>
          <w:rFonts w:ascii="宋体" w:hAnsi="宋体"/>
          <w:bCs/>
          <w:color w:val="000000"/>
          <w:kern w:val="0"/>
          <w:sz w:val="24"/>
        </w:rPr>
        <w:t>含第</w:t>
      </w:r>
      <w:r>
        <w:rPr>
          <w:rFonts w:ascii="宋体" w:hAnsi="宋体"/>
          <w:bCs/>
          <w:color w:val="000000"/>
          <w:kern w:val="0"/>
          <w:sz w:val="24"/>
        </w:rPr>
        <w:t>4</w:t>
      </w:r>
      <w:r>
        <w:rPr>
          <w:rFonts w:ascii="宋体" w:hAnsi="宋体"/>
          <w:bCs/>
          <w:color w:val="000000"/>
          <w:kern w:val="0"/>
          <w:sz w:val="24"/>
        </w:rPr>
        <w:t>位</w:t>
      </w:r>
      <w:r>
        <w:rPr>
          <w:rFonts w:ascii="宋体" w:hAnsi="宋体" w:hint="eastAsia"/>
          <w:bCs/>
          <w:color w:val="000000"/>
          <w:kern w:val="0"/>
          <w:sz w:val="24"/>
        </w:rPr>
        <w:t>）</w:t>
      </w:r>
      <w:r>
        <w:rPr>
          <w:rFonts w:ascii="宋体" w:hAnsi="宋体"/>
          <w:bCs/>
          <w:color w:val="000000"/>
          <w:kern w:val="0"/>
          <w:sz w:val="24"/>
        </w:rPr>
        <w:t>发</w:t>
      </w:r>
      <w:r>
        <w:rPr>
          <w:rFonts w:ascii="宋体" w:hAnsi="宋体"/>
          <w:bCs/>
          <w:color w:val="000000"/>
          <w:kern w:val="0"/>
          <w:sz w:val="24"/>
        </w:rPr>
        <w:lastRenderedPageBreak/>
        <w:t>生估值错误时，视为</w:t>
      </w:r>
      <w:r>
        <w:rPr>
          <w:rFonts w:ascii="宋体" w:hAnsi="宋体" w:hint="eastAsia"/>
          <w:bCs/>
          <w:color w:val="000000"/>
          <w:kern w:val="0"/>
          <w:sz w:val="24"/>
        </w:rPr>
        <w:t>该类</w:t>
      </w:r>
      <w:r>
        <w:rPr>
          <w:rFonts w:ascii="宋体" w:hAnsi="宋体"/>
          <w:bCs/>
          <w:color w:val="000000"/>
          <w:kern w:val="0"/>
          <w:sz w:val="24"/>
        </w:rPr>
        <w:t>基金份额净值错误</w:t>
      </w:r>
      <w:r>
        <w:rPr>
          <w:rFonts w:ascii="宋体" w:hAnsi="宋体" w:hint="eastAsia"/>
          <w:bCs/>
          <w:color w:val="000000"/>
          <w:kern w:val="0"/>
          <w:sz w:val="24"/>
        </w:rPr>
        <w:t>。</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、差错类型</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本基金运作过程中，如果由于基金管理人或基金托管人、或登记机构、或其他销售机构、或投资者自身的过错造成差错，导致其他当事人遭受损失的，过错的责任人应当对由于该差错遭受损失的当事人（“受损方”）的直接损失按下述“差错处理原则”给予赔偿承担赔偿责任。</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、差错处理原则</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）差错已发生，但尚未给当事人造成损失时，差错责任方应及时协调各方，及时进行更正，因</w:t>
      </w:r>
      <w:r>
        <w:rPr>
          <w:rFonts w:ascii="宋体" w:hAnsi="宋体" w:hint="eastAsia"/>
          <w:color w:val="000000"/>
          <w:kern w:val="0"/>
          <w:sz w:val="24"/>
        </w:rPr>
        <w:t>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）差错的责任方对可能导致有关当事人的直接损失负责，不对间接损失负责，并且仅对差错的有关直接当事人负责，不对第三方负责。</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）因差错而获得不当得利的当事人负有及时返还不当得利的义务。但差错责任方仍应对差错负责，如果由于获得</w:t>
      </w:r>
      <w:r>
        <w:rPr>
          <w:rFonts w:ascii="宋体" w:hAnsi="宋体" w:hint="eastAsia"/>
          <w:color w:val="000000"/>
          <w:kern w:val="0"/>
          <w:sz w:val="24"/>
        </w:rPr>
        <w:t>不当得利的当事人</w:t>
      </w:r>
      <w:proofErr w:type="gramStart"/>
      <w:r>
        <w:rPr>
          <w:rFonts w:ascii="宋体" w:hAnsi="宋体" w:hint="eastAsia"/>
          <w:color w:val="000000"/>
          <w:kern w:val="0"/>
          <w:sz w:val="24"/>
        </w:rPr>
        <w:t>不</w:t>
      </w:r>
      <w:proofErr w:type="gramEnd"/>
      <w:r>
        <w:rPr>
          <w:rFonts w:ascii="宋体" w:hAnsi="宋体" w:hint="eastAsia"/>
          <w:color w:val="000000"/>
          <w:kern w:val="0"/>
          <w:sz w:val="24"/>
        </w:rPr>
        <w:t>返还或不全部返还不当得利造成其他当事人的利益损失（“受损方”），则差错责任方应赔偿</w:t>
      </w:r>
      <w:r>
        <w:rPr>
          <w:rFonts w:ascii="宋体" w:hAnsi="宋体" w:hint="eastAsia"/>
          <w:color w:val="000000"/>
          <w:kern w:val="0"/>
          <w:sz w:val="24"/>
        </w:rPr>
        <w:lastRenderedPageBreak/>
        <w:t>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）差错调整采用尽量恢复至假设未发生差错的正确情形的方式。</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5</w:t>
      </w:r>
      <w:r>
        <w:rPr>
          <w:rFonts w:ascii="宋体" w:hAnsi="宋体" w:hint="eastAsia"/>
          <w:color w:val="000000"/>
          <w:kern w:val="0"/>
          <w:sz w:val="24"/>
        </w:rPr>
        <w:t>）差错责任方拒绝进行赔偿时，如果因基金管理人过错造成基金资产损失时，基金托管人应为基</w:t>
      </w:r>
      <w:r>
        <w:rPr>
          <w:rFonts w:ascii="宋体" w:hAnsi="宋体" w:hint="eastAsia"/>
          <w:color w:val="000000"/>
          <w:kern w:val="0"/>
          <w:sz w:val="24"/>
        </w:rPr>
        <w:t>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6</w:t>
      </w:r>
      <w:r>
        <w:rPr>
          <w:rFonts w:ascii="宋体" w:hAnsi="宋体" w:hint="eastAsia"/>
          <w:color w:val="000000"/>
          <w:kern w:val="0"/>
          <w:sz w:val="24"/>
        </w:rPr>
        <w:t>）如果出现差错的当事人未按规定对受损方进行赔偿，并且依据法律、行政法规、《基金合同》或其他规定，基金管理人自行或依据法院判决、仲裁裁决对受损方承担了赔偿责任，</w:t>
      </w:r>
      <w:proofErr w:type="gramStart"/>
      <w:r>
        <w:rPr>
          <w:rFonts w:ascii="宋体" w:hAnsi="宋体" w:hint="eastAsia"/>
          <w:color w:val="000000"/>
          <w:kern w:val="0"/>
          <w:sz w:val="24"/>
        </w:rPr>
        <w:t>则基金</w:t>
      </w:r>
      <w:proofErr w:type="gramEnd"/>
      <w:r>
        <w:rPr>
          <w:rFonts w:ascii="宋体" w:hAnsi="宋体" w:hint="eastAsia"/>
          <w:color w:val="000000"/>
          <w:kern w:val="0"/>
          <w:sz w:val="24"/>
        </w:rPr>
        <w:t>管理人有权向出现过错的当事人进行追索，并有权要求其赔偿或补偿由此发生的费用和遭受的损失。</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7</w:t>
      </w:r>
      <w:r>
        <w:rPr>
          <w:rFonts w:ascii="宋体" w:hAnsi="宋体" w:hint="eastAsia"/>
          <w:color w:val="000000"/>
          <w:kern w:val="0"/>
          <w:sz w:val="24"/>
        </w:rPr>
        <w:t>）按法律法规规定的其他原则处理差错。</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、差错处理程序</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差错被发现后，有关的当事人应当及时进行处理，处理的程序如下：</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）查明差错发生的原因，列明所有的当事人，并根据差错发生的原因确定差错的责任方；</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）根据差错处理原则或当事人协商的方法对因差错造成的损失进行评估；</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）根据差错处理原则或当事人协商的方法由差错的责任方进行更正和赔偿损失；</w:t>
      </w:r>
      <w:r>
        <w:rPr>
          <w:rFonts w:ascii="宋体" w:hAnsi="宋体" w:hint="eastAsia"/>
          <w:color w:val="000000"/>
          <w:kern w:val="0"/>
          <w:sz w:val="24"/>
        </w:rPr>
        <w:t xml:space="preserve"> </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）根据差错处理的方法，需要修改基金登记机构的交易数据的，由基金登记机构进行更正，并就差错的更正向有关当事人进行确认；</w:t>
      </w:r>
      <w:r>
        <w:rPr>
          <w:rFonts w:ascii="宋体" w:hAnsi="宋体" w:hint="eastAsia"/>
          <w:color w:val="000000"/>
          <w:kern w:val="0"/>
          <w:sz w:val="24"/>
        </w:rPr>
        <w:t xml:space="preserve"> </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color w:val="000000"/>
          <w:kern w:val="0"/>
          <w:sz w:val="24"/>
        </w:rPr>
      </w:pPr>
      <w:r>
        <w:rPr>
          <w:rFonts w:ascii="宋体" w:hAnsi="宋体" w:hint="eastAsia"/>
          <w:color w:val="000000"/>
          <w:kern w:val="0"/>
          <w:sz w:val="24"/>
        </w:rPr>
        <w:lastRenderedPageBreak/>
        <w:t>（</w:t>
      </w:r>
      <w:r>
        <w:rPr>
          <w:rFonts w:ascii="宋体" w:hAnsi="宋体" w:hint="eastAsia"/>
          <w:color w:val="000000"/>
          <w:kern w:val="0"/>
          <w:sz w:val="24"/>
        </w:rPr>
        <w:t>5</w:t>
      </w:r>
      <w:r>
        <w:rPr>
          <w:rFonts w:ascii="宋体" w:hAnsi="宋体" w:hint="eastAsia"/>
          <w:color w:val="000000"/>
          <w:kern w:val="0"/>
          <w:sz w:val="24"/>
        </w:rPr>
        <w:t>）基金管理人及基金托管人基金份额净值计算错误偏差达到</w:t>
      </w:r>
      <w:r>
        <w:rPr>
          <w:rStyle w:val="read"/>
          <w:rFonts w:ascii="彩虹粗仿宋" w:eastAsia="彩虹粗仿宋" w:hint="eastAsia"/>
          <w:sz w:val="24"/>
        </w:rPr>
        <w:t>该类</w:t>
      </w:r>
      <w:r>
        <w:rPr>
          <w:rFonts w:ascii="宋体" w:hAnsi="宋体" w:hint="eastAsia"/>
          <w:color w:val="000000"/>
          <w:kern w:val="0"/>
          <w:sz w:val="24"/>
        </w:rPr>
        <w:t>基金份</w:t>
      </w:r>
      <w:r>
        <w:rPr>
          <w:rFonts w:ascii="宋体" w:hAnsi="宋体" w:hint="eastAsia"/>
          <w:color w:val="000000"/>
          <w:kern w:val="0"/>
          <w:sz w:val="24"/>
        </w:rPr>
        <w:t>额净值的</w:t>
      </w:r>
      <w:r>
        <w:rPr>
          <w:rFonts w:ascii="宋体" w:hAnsi="宋体" w:hint="eastAsia"/>
          <w:color w:val="000000"/>
          <w:kern w:val="0"/>
          <w:sz w:val="24"/>
        </w:rPr>
        <w:t>0.25%</w:t>
      </w:r>
      <w:r>
        <w:rPr>
          <w:rFonts w:ascii="宋体" w:hAnsi="宋体" w:hint="eastAsia"/>
          <w:color w:val="000000"/>
          <w:kern w:val="0"/>
          <w:sz w:val="24"/>
        </w:rPr>
        <w:t>时，基金管理人应当通报基金托管人并报告中国证监会备案；基金管理人及基金托管人基金份额净值计算错误偏差达到</w:t>
      </w:r>
      <w:r>
        <w:rPr>
          <w:rStyle w:val="read"/>
          <w:rFonts w:ascii="彩虹粗仿宋" w:eastAsia="彩虹粗仿宋" w:hint="eastAsia"/>
          <w:sz w:val="24"/>
        </w:rPr>
        <w:t>该类</w:t>
      </w:r>
      <w:r>
        <w:rPr>
          <w:rFonts w:ascii="宋体" w:hAnsi="宋体" w:hint="eastAsia"/>
          <w:color w:val="000000"/>
          <w:kern w:val="0"/>
          <w:sz w:val="24"/>
        </w:rPr>
        <w:t>基金份额净值的</w:t>
      </w:r>
      <w:r>
        <w:rPr>
          <w:rFonts w:ascii="宋体" w:hAnsi="宋体" w:hint="eastAsia"/>
          <w:color w:val="000000"/>
          <w:kern w:val="0"/>
          <w:sz w:val="24"/>
        </w:rPr>
        <w:t>0.5%</w:t>
      </w:r>
      <w:r>
        <w:rPr>
          <w:rFonts w:ascii="宋体" w:hAnsi="宋体" w:hint="eastAsia"/>
          <w:color w:val="000000"/>
          <w:kern w:val="0"/>
          <w:sz w:val="24"/>
        </w:rPr>
        <w:t>时，基金管理人应当公告并报中国证监会备案。</w:t>
      </w:r>
      <w:bookmarkStart w:id="98" w:name="OLE_LINK6"/>
      <w:bookmarkStart w:id="99" w:name="OLE_LINK5"/>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（三）暂停估值的情形</w:t>
      </w:r>
    </w:p>
    <w:bookmarkEnd w:id="98"/>
    <w:bookmarkEnd w:id="99"/>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、基金投资所涉及的证券</w:t>
      </w:r>
      <w:r>
        <w:rPr>
          <w:rFonts w:ascii="宋体" w:hAnsi="宋体"/>
          <w:color w:val="000000"/>
          <w:kern w:val="0"/>
          <w:sz w:val="24"/>
        </w:rPr>
        <w:t>/</w:t>
      </w:r>
      <w:r>
        <w:rPr>
          <w:rFonts w:ascii="宋体" w:hAnsi="宋体"/>
          <w:color w:val="000000"/>
          <w:kern w:val="0"/>
          <w:sz w:val="24"/>
        </w:rPr>
        <w:t>期货</w:t>
      </w:r>
      <w:r>
        <w:rPr>
          <w:rFonts w:ascii="宋体" w:hAnsi="宋体" w:hint="eastAsia"/>
          <w:color w:val="000000"/>
          <w:kern w:val="0"/>
          <w:sz w:val="24"/>
        </w:rPr>
        <w:t>交易市场遇法定节假日或因其他原因暂停营业时；</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、因不可抗力致使基金管理人、基金托管人无法准确评估基金资产价值时；</w:t>
      </w:r>
    </w:p>
    <w:p w:rsidR="004B7B94" w:rsidRDefault="00E10EAD">
      <w:pPr>
        <w:tabs>
          <w:tab w:val="left" w:pos="1260"/>
        </w:tabs>
        <w:spacing w:line="360" w:lineRule="auto"/>
        <w:ind w:firstLineChars="200" w:firstLine="480"/>
        <w:rPr>
          <w:rFonts w:ascii="宋体" w:hAnsi="宋体"/>
          <w:color w:val="000000"/>
          <w:kern w:val="0"/>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以上时，经与基金托管人协商确认后，基金管理人应当暂停基金估值；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、法律法规、中国证监会和基金合同认定的其它情形。</w:t>
      </w:r>
    </w:p>
    <w:p w:rsidR="004B7B94" w:rsidRDefault="00E10EAD">
      <w:pPr>
        <w:tabs>
          <w:tab w:val="left" w:pos="1260"/>
        </w:tabs>
        <w:spacing w:line="360" w:lineRule="auto"/>
        <w:ind w:firstLineChars="200" w:firstLine="482"/>
        <w:rPr>
          <w:rFonts w:ascii="宋体" w:hAnsi="宋体"/>
          <w:color w:val="000000"/>
          <w:kern w:val="0"/>
          <w:sz w:val="24"/>
        </w:rPr>
      </w:pPr>
      <w:r>
        <w:rPr>
          <w:rFonts w:ascii="宋体" w:cs="宋体" w:hint="eastAsia"/>
          <w:b/>
          <w:color w:val="000000"/>
          <w:kern w:val="0"/>
          <w:sz w:val="24"/>
        </w:rPr>
        <w:t>（四）基金</w:t>
      </w:r>
      <w:r>
        <w:rPr>
          <w:rFonts w:ascii="宋体" w:hAnsi="宋体" w:hint="eastAsia"/>
          <w:b/>
          <w:bCs/>
          <w:color w:val="000000"/>
          <w:sz w:val="24"/>
        </w:rPr>
        <w:t>会计制度</w:t>
      </w:r>
    </w:p>
    <w:p w:rsidR="004B7B94" w:rsidRDefault="00E10EAD">
      <w:pPr>
        <w:autoSpaceDE w:val="0"/>
        <w:autoSpaceDN w:val="0"/>
        <w:adjustRightInd w:val="0"/>
        <w:spacing w:line="360" w:lineRule="auto"/>
        <w:ind w:firstLineChars="200" w:firstLine="480"/>
        <w:rPr>
          <w:rFonts w:ascii="宋体" w:cs="宋体"/>
          <w:color w:val="000000"/>
          <w:kern w:val="0"/>
          <w:sz w:val="20"/>
          <w:szCs w:val="20"/>
        </w:rPr>
      </w:pPr>
      <w:r>
        <w:rPr>
          <w:rFonts w:ascii="宋体" w:cs="宋体" w:hint="eastAsia"/>
          <w:color w:val="000000"/>
          <w:kern w:val="0"/>
          <w:sz w:val="24"/>
        </w:rPr>
        <w:t>按国家有关部门制定的会计制度执行。</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（五）基金账册的建立</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（六）会计数据和财务指标的核对</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双方</w:t>
      </w:r>
      <w:proofErr w:type="gramStart"/>
      <w:r>
        <w:rPr>
          <w:rFonts w:ascii="宋体" w:hAnsi="宋体" w:hint="eastAsia"/>
          <w:color w:val="000000"/>
          <w:kern w:val="0"/>
          <w:sz w:val="24"/>
        </w:rPr>
        <w:t>应每个</w:t>
      </w:r>
      <w:proofErr w:type="gramEnd"/>
      <w:r>
        <w:rPr>
          <w:rFonts w:ascii="宋体" w:hAnsi="宋体" w:hint="eastAsia"/>
          <w:color w:val="000000"/>
          <w:kern w:val="0"/>
          <w:sz w:val="24"/>
        </w:rPr>
        <w:t>交易日核对账目，如发现双方的账目存在不符的，基金管理人和基金托管人必须及时查明原因并</w:t>
      </w:r>
      <w:r>
        <w:rPr>
          <w:rFonts w:ascii="宋体" w:hAnsi="宋体" w:hint="eastAsia"/>
          <w:color w:val="000000"/>
          <w:kern w:val="0"/>
          <w:sz w:val="24"/>
        </w:rPr>
        <w:t>纠正，确保核对一致。若当日核对不符，暂时无法查找到错账的原因而影响到基金净值的计算和公告的，以基金管理人的账册为准。</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lastRenderedPageBreak/>
        <w:t>（七）基金定期报告的编制和复核</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基金财务报表由基金管理人和基金托管人每</w:t>
      </w:r>
      <w:proofErr w:type="gramStart"/>
      <w:r>
        <w:rPr>
          <w:rFonts w:ascii="宋体" w:hAnsi="宋体" w:hint="eastAsia"/>
          <w:color w:val="000000"/>
          <w:kern w:val="0"/>
          <w:sz w:val="24"/>
        </w:rPr>
        <w:t>月分别独立</w:t>
      </w:r>
      <w:proofErr w:type="gramEnd"/>
      <w:r>
        <w:rPr>
          <w:rFonts w:ascii="宋体" w:hAnsi="宋体" w:hint="eastAsia"/>
          <w:color w:val="000000"/>
          <w:kern w:val="0"/>
          <w:sz w:val="24"/>
        </w:rPr>
        <w:t>编制。月度报表的编制，应于每月终了后</w:t>
      </w:r>
      <w:r>
        <w:rPr>
          <w:rFonts w:ascii="宋体" w:hAnsi="宋体" w:hint="eastAsia"/>
          <w:color w:val="000000"/>
          <w:kern w:val="0"/>
          <w:sz w:val="24"/>
        </w:rPr>
        <w:t>5</w:t>
      </w:r>
      <w:r>
        <w:rPr>
          <w:rFonts w:ascii="宋体" w:hAnsi="宋体" w:hint="eastAsia"/>
          <w:color w:val="000000"/>
          <w:kern w:val="0"/>
          <w:sz w:val="24"/>
        </w:rPr>
        <w:t>个工作日内完成。在《基金合同》生效后，基金管理人对招募说明书、基金产品资料概要每年至少更新一次并登载在指定媒介上。基金管理人在每个季度结束之日起</w:t>
      </w:r>
      <w:r>
        <w:rPr>
          <w:rFonts w:ascii="宋体" w:hAnsi="宋体" w:hint="eastAsia"/>
          <w:color w:val="000000"/>
          <w:kern w:val="0"/>
          <w:sz w:val="24"/>
        </w:rPr>
        <w:t>15</w:t>
      </w:r>
      <w:r>
        <w:rPr>
          <w:rFonts w:ascii="宋体" w:hAnsi="宋体" w:hint="eastAsia"/>
          <w:color w:val="000000"/>
          <w:kern w:val="0"/>
          <w:sz w:val="24"/>
        </w:rPr>
        <w:t>个工作日内完成季度报告编制并公告；在上半年结束之日起两个月内完成中期报告编制并公告；在每年结束之日起三个月内完成年度报告编制并公</w:t>
      </w:r>
      <w:r>
        <w:rPr>
          <w:rFonts w:ascii="宋体" w:hAnsi="宋体" w:hint="eastAsia"/>
          <w:color w:val="000000"/>
          <w:kern w:val="0"/>
          <w:sz w:val="24"/>
        </w:rPr>
        <w:t>告。基金管理人在月度报表完成当日，以约定方式将有关报表提供基金托管人；基金托管人在</w:t>
      </w:r>
      <w:r>
        <w:rPr>
          <w:rFonts w:ascii="宋体" w:hAnsi="宋体" w:hint="eastAsia"/>
          <w:color w:val="000000"/>
          <w:kern w:val="0"/>
          <w:sz w:val="24"/>
        </w:rPr>
        <w:t>2</w:t>
      </w:r>
      <w:r>
        <w:rPr>
          <w:rFonts w:ascii="宋体" w:hAnsi="宋体" w:hint="eastAsia"/>
          <w:color w:val="000000"/>
          <w:kern w:val="0"/>
          <w:sz w:val="24"/>
        </w:rPr>
        <w:t>个工作日内进行复核，并将复核结果反馈给基金管理人。基金管理人在季度报表完成当日，以约定方式将有关报表提供基金托管人；基金托管人在</w:t>
      </w:r>
      <w:r>
        <w:rPr>
          <w:rFonts w:ascii="宋体" w:hAnsi="宋体" w:hint="eastAsia"/>
          <w:color w:val="000000"/>
          <w:kern w:val="0"/>
          <w:sz w:val="24"/>
        </w:rPr>
        <w:t>5</w:t>
      </w:r>
      <w:r>
        <w:rPr>
          <w:rFonts w:ascii="宋体" w:hAnsi="宋体" w:hint="eastAsia"/>
          <w:color w:val="000000"/>
          <w:kern w:val="0"/>
          <w:sz w:val="24"/>
        </w:rPr>
        <w:t>个工作日内进行复核，并将复核结果反馈给基金管理人。基金管理人在更新招募说明书、基金产品资料概要完成当日，将有关报告提供基金托管人，基金托管人在收到后应</w:t>
      </w:r>
      <w:r>
        <w:rPr>
          <w:rFonts w:ascii="宋体" w:hAnsi="宋体"/>
          <w:color w:val="000000"/>
          <w:kern w:val="0"/>
          <w:sz w:val="24"/>
        </w:rPr>
        <w:t>及时</w:t>
      </w:r>
      <w:r>
        <w:rPr>
          <w:rFonts w:ascii="宋体" w:hAnsi="宋体" w:hint="eastAsia"/>
          <w:color w:val="000000"/>
          <w:kern w:val="0"/>
          <w:sz w:val="24"/>
        </w:rPr>
        <w:t>进行复核，并将复核结果反馈给基金管理人。基金管理人在</w:t>
      </w:r>
      <w:r>
        <w:rPr>
          <w:rFonts w:ascii="宋体" w:hAnsi="宋体" w:hint="eastAsia"/>
          <w:sz w:val="24"/>
        </w:rPr>
        <w:t>中期报告</w:t>
      </w:r>
      <w:r>
        <w:rPr>
          <w:rFonts w:ascii="宋体" w:hAnsi="宋体" w:hint="eastAsia"/>
          <w:color w:val="000000"/>
          <w:kern w:val="0"/>
          <w:sz w:val="24"/>
        </w:rPr>
        <w:t>完成当日，将有关报告提供基金托管人，基金托管人在收到后</w:t>
      </w:r>
      <w:r>
        <w:rPr>
          <w:rFonts w:ascii="宋体" w:hAnsi="宋体" w:hint="eastAsia"/>
          <w:color w:val="000000"/>
          <w:kern w:val="0"/>
          <w:sz w:val="24"/>
        </w:rPr>
        <w:t>20</w:t>
      </w:r>
      <w:r>
        <w:rPr>
          <w:rFonts w:ascii="宋体" w:hAnsi="宋体" w:hint="eastAsia"/>
          <w:color w:val="000000"/>
          <w:kern w:val="0"/>
          <w:sz w:val="24"/>
        </w:rPr>
        <w:t>日内进行复核，并将复核结果</w:t>
      </w:r>
      <w:r>
        <w:rPr>
          <w:rFonts w:ascii="宋体" w:hAnsi="宋体" w:hint="eastAsia"/>
          <w:color w:val="000000"/>
          <w:kern w:val="0"/>
          <w:sz w:val="24"/>
        </w:rPr>
        <w:t>反馈给基金管理人。基金管理人在年度报告完成当日，将有关报告提供基金托管人，基金托管人在收到后</w:t>
      </w:r>
      <w:r>
        <w:rPr>
          <w:rFonts w:ascii="宋体" w:hAnsi="宋体" w:hint="eastAsia"/>
          <w:color w:val="000000"/>
          <w:kern w:val="0"/>
          <w:sz w:val="24"/>
        </w:rPr>
        <w:t>30</w:t>
      </w:r>
      <w:r>
        <w:rPr>
          <w:rFonts w:ascii="宋体" w:hAnsi="宋体" w:hint="eastAsia"/>
          <w:color w:val="000000"/>
          <w:kern w:val="0"/>
          <w:sz w:val="24"/>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Pr>
          <w:rFonts w:ascii="宋体" w:hAnsi="宋体" w:hint="eastAsia"/>
          <w:color w:val="000000"/>
          <w:kern w:val="0"/>
          <w:sz w:val="24"/>
        </w:rPr>
        <w:t>于应当</w:t>
      </w:r>
      <w:proofErr w:type="gramEnd"/>
      <w:r>
        <w:rPr>
          <w:rFonts w:ascii="宋体" w:hAnsi="宋体" w:hint="eastAsia"/>
          <w:color w:val="000000"/>
          <w:kern w:val="0"/>
          <w:sz w:val="24"/>
        </w:rPr>
        <w:t>发布公告之日前就相关报表达成一致，基金管理人有权按照其编制的报表对外发布公告，基金托管人有权就相关情况报证监会备案。</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基金托管人在对财务报表、季度报告、</w:t>
      </w:r>
      <w:r>
        <w:rPr>
          <w:rFonts w:ascii="宋体" w:hAnsi="宋体" w:hint="eastAsia"/>
          <w:sz w:val="24"/>
        </w:rPr>
        <w:t>中期报告</w:t>
      </w:r>
      <w:r>
        <w:rPr>
          <w:rFonts w:ascii="宋体" w:hAnsi="宋体" w:hint="eastAsia"/>
          <w:color w:val="000000"/>
          <w:kern w:val="0"/>
          <w:sz w:val="24"/>
        </w:rPr>
        <w:t>或年度报告复核完毕后，可以出具复核确认书（盖章）</w:t>
      </w:r>
      <w:r>
        <w:rPr>
          <w:rFonts w:ascii="宋体" w:hAnsi="宋体" w:hint="eastAsia"/>
          <w:color w:val="000000"/>
          <w:kern w:val="0"/>
          <w:sz w:val="24"/>
        </w:rPr>
        <w:t>或以其他双方约定的方式确认，以</w:t>
      </w:r>
      <w:proofErr w:type="gramStart"/>
      <w:r>
        <w:rPr>
          <w:rFonts w:ascii="宋体" w:hAnsi="宋体" w:hint="eastAsia"/>
          <w:color w:val="000000"/>
          <w:kern w:val="0"/>
          <w:sz w:val="24"/>
        </w:rPr>
        <w:t>备有权</w:t>
      </w:r>
      <w:proofErr w:type="gramEnd"/>
      <w:r>
        <w:rPr>
          <w:rFonts w:ascii="宋体" w:hAnsi="宋体" w:hint="eastAsia"/>
          <w:color w:val="000000"/>
          <w:kern w:val="0"/>
          <w:sz w:val="24"/>
        </w:rPr>
        <w:t>机构对相关文件审核检查。</w:t>
      </w:r>
      <w:bookmarkStart w:id="100" w:name="_Toc523830000"/>
      <w:bookmarkStart w:id="101" w:name="_Toc22454461"/>
      <w:bookmarkStart w:id="102" w:name="_Toc125892445"/>
      <w:bookmarkStart w:id="103" w:name="_Toc466788859"/>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（八）实施</w:t>
      </w:r>
      <w:proofErr w:type="gramStart"/>
      <w:r>
        <w:rPr>
          <w:rFonts w:ascii="宋体" w:hAnsi="宋体" w:hint="eastAsia"/>
          <w:b/>
          <w:bCs/>
          <w:color w:val="000000"/>
          <w:sz w:val="24"/>
        </w:rPr>
        <w:t>侧袋机制</w:t>
      </w:r>
      <w:proofErr w:type="gramEnd"/>
      <w:r>
        <w:rPr>
          <w:rFonts w:ascii="宋体" w:hAnsi="宋体" w:hint="eastAsia"/>
          <w:b/>
          <w:bCs/>
          <w:color w:val="000000"/>
          <w:sz w:val="24"/>
        </w:rPr>
        <w:t>期间的基金资产估值</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本基金实施</w:t>
      </w:r>
      <w:proofErr w:type="gramStart"/>
      <w:r>
        <w:rPr>
          <w:rFonts w:ascii="宋体" w:hAnsi="宋体" w:hint="eastAsia"/>
          <w:color w:val="000000"/>
          <w:kern w:val="0"/>
          <w:sz w:val="24"/>
        </w:rPr>
        <w:t>侧袋机制</w:t>
      </w:r>
      <w:proofErr w:type="gramEnd"/>
      <w:r>
        <w:rPr>
          <w:rFonts w:ascii="宋体" w:hAnsi="宋体" w:hint="eastAsia"/>
          <w:color w:val="000000"/>
          <w:kern w:val="0"/>
          <w:sz w:val="24"/>
        </w:rPr>
        <w:t>的，应根据本部分的约定</w:t>
      </w:r>
      <w:proofErr w:type="gramStart"/>
      <w:r>
        <w:rPr>
          <w:rFonts w:ascii="宋体" w:hAnsi="宋体" w:hint="eastAsia"/>
          <w:color w:val="000000"/>
          <w:kern w:val="0"/>
          <w:sz w:val="24"/>
        </w:rPr>
        <w:t>对主袋账户</w:t>
      </w:r>
      <w:proofErr w:type="gramEnd"/>
      <w:r>
        <w:rPr>
          <w:rFonts w:ascii="宋体" w:hAnsi="宋体" w:hint="eastAsia"/>
          <w:color w:val="000000"/>
          <w:kern w:val="0"/>
          <w:sz w:val="24"/>
        </w:rPr>
        <w:t>资产进行估值并</w:t>
      </w:r>
      <w:proofErr w:type="gramStart"/>
      <w:r>
        <w:rPr>
          <w:rFonts w:ascii="宋体" w:hAnsi="宋体" w:hint="eastAsia"/>
          <w:color w:val="000000"/>
          <w:kern w:val="0"/>
          <w:sz w:val="24"/>
        </w:rPr>
        <w:t>披露主袋账户</w:t>
      </w:r>
      <w:proofErr w:type="gramEnd"/>
      <w:r>
        <w:rPr>
          <w:rFonts w:ascii="宋体" w:hAnsi="宋体" w:hint="eastAsia"/>
          <w:color w:val="000000"/>
          <w:kern w:val="0"/>
          <w:sz w:val="24"/>
        </w:rPr>
        <w:t>的基金净值信息，暂停</w:t>
      </w:r>
      <w:proofErr w:type="gramStart"/>
      <w:r>
        <w:rPr>
          <w:rFonts w:ascii="宋体" w:hAnsi="宋体" w:hint="eastAsia"/>
          <w:color w:val="000000"/>
          <w:kern w:val="0"/>
          <w:sz w:val="24"/>
        </w:rPr>
        <w:t>披露侧袋账户</w:t>
      </w:r>
      <w:proofErr w:type="gramEnd"/>
      <w:r>
        <w:rPr>
          <w:rFonts w:ascii="宋体" w:hAnsi="宋体" w:hint="eastAsia"/>
          <w:color w:val="000000"/>
          <w:kern w:val="0"/>
          <w:sz w:val="24"/>
        </w:rPr>
        <w:t>份额净值。</w:t>
      </w:r>
    </w:p>
    <w:p w:rsidR="004B7B94" w:rsidRDefault="00E10EAD">
      <w:pPr>
        <w:pStyle w:val="1"/>
        <w:spacing w:before="0" w:after="0"/>
        <w:ind w:firstLineChars="200" w:firstLine="482"/>
      </w:pPr>
      <w:bookmarkStart w:id="104" w:name="_Toc291504137"/>
      <w:bookmarkStart w:id="105" w:name="_Toc27492"/>
      <w:bookmarkStart w:id="106" w:name="_Toc13150"/>
      <w:bookmarkStart w:id="107" w:name="_Toc59200025"/>
      <w:r>
        <w:rPr>
          <w:rFonts w:hint="eastAsia"/>
        </w:rPr>
        <w:lastRenderedPageBreak/>
        <w:t>九、基金收益分配</w:t>
      </w:r>
      <w:bookmarkEnd w:id="100"/>
      <w:bookmarkEnd w:id="101"/>
      <w:bookmarkEnd w:id="102"/>
      <w:bookmarkEnd w:id="103"/>
      <w:bookmarkEnd w:id="104"/>
      <w:bookmarkEnd w:id="105"/>
      <w:bookmarkEnd w:id="106"/>
      <w:bookmarkEnd w:id="107"/>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基金收益分配是指将本基金的可分配收益根据持有各类基金份额的数量按比例向基金份额持有人进行分配。</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（一）基金收益分配应该符合基金合同中收益分配原则的规定，具体规定如下：</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bCs/>
          <w:color w:val="000000"/>
          <w:sz w:val="24"/>
        </w:rPr>
        <w:t>1.</w:t>
      </w:r>
      <w:r>
        <w:rPr>
          <w:rFonts w:ascii="宋体" w:hAnsi="宋体" w:hint="eastAsia"/>
          <w:bCs/>
          <w:color w:val="000000"/>
          <w:sz w:val="24"/>
        </w:rPr>
        <w:t>由于本基金</w:t>
      </w:r>
      <w:r>
        <w:rPr>
          <w:rFonts w:ascii="宋体" w:hAnsi="宋体" w:hint="eastAsia"/>
          <w:bCs/>
          <w:color w:val="000000"/>
          <w:sz w:val="24"/>
        </w:rPr>
        <w:t>A</w:t>
      </w:r>
      <w:r>
        <w:rPr>
          <w:rFonts w:ascii="宋体" w:hAnsi="宋体" w:hint="eastAsia"/>
          <w:bCs/>
          <w:color w:val="000000"/>
          <w:sz w:val="24"/>
        </w:rPr>
        <w:t>类基金份额不收取销售服务费，而</w:t>
      </w:r>
      <w:r>
        <w:rPr>
          <w:rFonts w:ascii="宋体" w:hAnsi="宋体" w:hint="eastAsia"/>
          <w:bCs/>
          <w:color w:val="000000"/>
          <w:sz w:val="24"/>
        </w:rPr>
        <w:t>C</w:t>
      </w:r>
      <w:r>
        <w:rPr>
          <w:rFonts w:ascii="宋体" w:hAnsi="宋体" w:hint="eastAsia"/>
          <w:bCs/>
          <w:color w:val="000000"/>
          <w:sz w:val="24"/>
        </w:rPr>
        <w:t>类基金份额收取销售服务费，各类别基金份额对应的可供分配利润将有所不同。本基金同一类别的每一基金份额享有同等分配权；</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bCs/>
          <w:color w:val="000000"/>
          <w:sz w:val="24"/>
        </w:rPr>
        <w:t>2.</w:t>
      </w:r>
      <w:r>
        <w:rPr>
          <w:rFonts w:ascii="宋体" w:hAnsi="宋体"/>
          <w:bCs/>
          <w:color w:val="000000"/>
          <w:sz w:val="24"/>
        </w:rPr>
        <w:t>本基金收益分配方式分为两种：现金分红与红利再投资，投资者可选择现金红利或将现金红利自动转为</w:t>
      </w:r>
      <w:r>
        <w:rPr>
          <w:rFonts w:ascii="彩虹粗仿宋" w:eastAsia="彩虹粗仿宋" w:hAnsi="宋体" w:cs="Arial" w:hint="eastAsia"/>
          <w:sz w:val="24"/>
        </w:rPr>
        <w:t>相应类别的</w:t>
      </w:r>
      <w:r>
        <w:rPr>
          <w:rFonts w:ascii="宋体" w:hAnsi="宋体"/>
          <w:bCs/>
          <w:color w:val="000000"/>
          <w:sz w:val="24"/>
        </w:rPr>
        <w:t>基金份额进行再投资；若投资者不选择，本基金默认的收益分配方式是现金分红；</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bCs/>
          <w:color w:val="000000"/>
          <w:sz w:val="24"/>
        </w:rPr>
        <w:t>3.</w:t>
      </w:r>
      <w:r>
        <w:rPr>
          <w:rFonts w:ascii="宋体" w:hAnsi="宋体"/>
          <w:bCs/>
          <w:color w:val="000000"/>
          <w:sz w:val="24"/>
        </w:rPr>
        <w:t>基金收益分配后</w:t>
      </w:r>
      <w:r>
        <w:rPr>
          <w:rFonts w:ascii="彩虹粗仿宋" w:eastAsia="彩虹粗仿宋" w:hAnsi="宋体" w:cs="Arial" w:hint="eastAsia"/>
          <w:sz w:val="24"/>
        </w:rPr>
        <w:t>任一类</w:t>
      </w:r>
      <w:r>
        <w:rPr>
          <w:rFonts w:ascii="宋体" w:hAnsi="宋体"/>
          <w:bCs/>
          <w:color w:val="000000"/>
          <w:sz w:val="24"/>
        </w:rPr>
        <w:t>基金份额净值不能低于面值：即基金收益分配基准日的</w:t>
      </w:r>
      <w:r>
        <w:rPr>
          <w:rFonts w:ascii="彩虹粗仿宋" w:eastAsia="彩虹粗仿宋" w:hAnsi="宋体" w:cs="Arial" w:hint="eastAsia"/>
          <w:sz w:val="24"/>
        </w:rPr>
        <w:t>任一类</w:t>
      </w:r>
      <w:r>
        <w:rPr>
          <w:rFonts w:ascii="宋体" w:hAnsi="宋体"/>
          <w:bCs/>
          <w:color w:val="000000"/>
          <w:sz w:val="24"/>
        </w:rPr>
        <w:t>基金份额净值减去</w:t>
      </w:r>
      <w:r>
        <w:rPr>
          <w:rFonts w:ascii="彩虹粗仿宋" w:eastAsia="彩虹粗仿宋" w:hAnsi="宋体" w:cs="Arial" w:hint="eastAsia"/>
          <w:sz w:val="24"/>
        </w:rPr>
        <w:t>该类</w:t>
      </w:r>
      <w:r>
        <w:rPr>
          <w:rFonts w:ascii="宋体" w:hAnsi="宋体"/>
          <w:bCs/>
          <w:color w:val="000000"/>
          <w:sz w:val="24"/>
        </w:rPr>
        <w:t>每单位基金份额收益分配金额后不能低于面值；</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bCs/>
          <w:color w:val="000000"/>
          <w:sz w:val="24"/>
        </w:rPr>
        <w:t>4.</w:t>
      </w:r>
      <w:r>
        <w:rPr>
          <w:rFonts w:ascii="宋体" w:hAnsi="宋体" w:hint="eastAsia"/>
          <w:bCs/>
          <w:color w:val="000000"/>
          <w:sz w:val="24"/>
        </w:rPr>
        <w:t>在符合有关基金分红条件的前提</w:t>
      </w:r>
      <w:r>
        <w:rPr>
          <w:rFonts w:ascii="宋体" w:hAnsi="宋体" w:hint="eastAsia"/>
          <w:bCs/>
          <w:color w:val="000000"/>
          <w:sz w:val="24"/>
        </w:rPr>
        <w:t>下，本基金每年收益分配次数最多为</w:t>
      </w:r>
      <w:r>
        <w:rPr>
          <w:rFonts w:ascii="宋体" w:hAnsi="宋体" w:hint="eastAsia"/>
          <w:bCs/>
          <w:color w:val="000000"/>
          <w:sz w:val="24"/>
        </w:rPr>
        <w:t>12</w:t>
      </w:r>
      <w:r>
        <w:rPr>
          <w:rFonts w:ascii="宋体" w:hAnsi="宋体" w:hint="eastAsia"/>
          <w:bCs/>
          <w:color w:val="000000"/>
          <w:sz w:val="24"/>
        </w:rPr>
        <w:t>次，若《基金合同》生效不满</w:t>
      </w:r>
      <w:r>
        <w:rPr>
          <w:rFonts w:ascii="宋体" w:hAnsi="宋体" w:hint="eastAsia"/>
          <w:bCs/>
          <w:color w:val="000000"/>
          <w:sz w:val="24"/>
        </w:rPr>
        <w:t>3</w:t>
      </w:r>
      <w:r>
        <w:rPr>
          <w:rFonts w:ascii="宋体" w:hAnsi="宋体" w:hint="eastAsia"/>
          <w:bCs/>
          <w:color w:val="000000"/>
          <w:sz w:val="24"/>
        </w:rPr>
        <w:t>个月可不进行收益分配；</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hint="eastAsia"/>
          <w:bCs/>
          <w:color w:val="000000"/>
          <w:sz w:val="24"/>
        </w:rPr>
        <w:t>5.</w:t>
      </w:r>
      <w:r>
        <w:rPr>
          <w:rFonts w:ascii="宋体" w:hAnsi="宋体"/>
          <w:bCs/>
          <w:color w:val="000000"/>
          <w:sz w:val="24"/>
        </w:rPr>
        <w:t>法律法规或监管机构另有规定的，从其规定。</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hint="eastAsia"/>
          <w:bCs/>
          <w:color w:val="000000"/>
          <w:sz w:val="24"/>
        </w:rPr>
        <w:t>本基金每次收益分配比例详见届时基金管理人发布的公告。</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（二）基金收益分配方案的确定与公告</w:t>
      </w:r>
    </w:p>
    <w:p w:rsidR="004B7B94" w:rsidRDefault="00E10EAD">
      <w:pPr>
        <w:tabs>
          <w:tab w:val="left" w:pos="1260"/>
        </w:tabs>
        <w:spacing w:line="360" w:lineRule="auto"/>
        <w:ind w:firstLineChars="200" w:firstLine="480"/>
        <w:rPr>
          <w:rFonts w:ascii="宋体" w:hAnsi="宋体"/>
          <w:color w:val="000000"/>
          <w:kern w:val="0"/>
          <w:sz w:val="24"/>
        </w:rPr>
      </w:pPr>
      <w:bookmarkStart w:id="108" w:name="_Toc466788861"/>
      <w:bookmarkStart w:id="109" w:name="_Toc523830002"/>
      <w:bookmarkStart w:id="110" w:name="_Toc22454465"/>
      <w:r>
        <w:rPr>
          <w:rFonts w:ascii="宋体" w:hAnsi="宋体" w:hint="eastAsia"/>
          <w:color w:val="000000"/>
          <w:kern w:val="0"/>
          <w:sz w:val="24"/>
        </w:rPr>
        <w:t>基金收益分配方案由基金管理人拟定，并由基金托管人核实后确定，基金管理人应</w:t>
      </w:r>
      <w:r>
        <w:rPr>
          <w:rFonts w:ascii="宋体" w:hAnsi="宋体" w:hint="eastAsia"/>
          <w:sz w:val="24"/>
          <w:szCs w:val="21"/>
        </w:rPr>
        <w:t>按规定</w:t>
      </w:r>
      <w:r>
        <w:rPr>
          <w:rFonts w:ascii="宋体" w:hAnsi="宋体" w:hint="eastAsia"/>
          <w:color w:val="000000"/>
          <w:kern w:val="0"/>
          <w:sz w:val="24"/>
        </w:rPr>
        <w:t>在</w:t>
      </w:r>
      <w:r>
        <w:rPr>
          <w:rFonts w:ascii="宋体" w:hAnsi="宋体"/>
          <w:color w:val="000000"/>
          <w:kern w:val="0"/>
          <w:sz w:val="24"/>
        </w:rPr>
        <w:t>中国证监会指定媒介公告</w:t>
      </w:r>
      <w:r>
        <w:rPr>
          <w:rFonts w:ascii="宋体" w:hAnsi="宋体" w:hint="eastAsia"/>
          <w:color w:val="000000"/>
          <w:kern w:val="0"/>
          <w:sz w:val="24"/>
        </w:rPr>
        <w:t>。</w:t>
      </w:r>
      <w:r>
        <w:rPr>
          <w:rFonts w:ascii="宋体" w:hAnsi="宋体"/>
          <w:color w:val="000000"/>
          <w:kern w:val="0"/>
          <w:sz w:val="24"/>
        </w:rPr>
        <w:t>基金管理人向基金托管人下达收益分配的付款指令，基金托管人按指令将收益分配的全部资金划入基金管理人的指定账户</w:t>
      </w:r>
      <w:r>
        <w:rPr>
          <w:rFonts w:ascii="宋体" w:hAnsi="宋体" w:hint="eastAsia"/>
          <w:color w:val="000000"/>
          <w:kern w:val="0"/>
          <w:sz w:val="24"/>
        </w:rPr>
        <w:t>，并由基金管理人负责分配。基金收益分配方案须载明基金收益的范围、基金收益分配对象、分配原则、分配时间、分配数额及比例、分配方式、支付方式及有关手续费等内容。</w:t>
      </w:r>
      <w:bookmarkStart w:id="111" w:name="_Toc125892446"/>
    </w:p>
    <w:p w:rsidR="004B7B94" w:rsidRDefault="00E10EAD">
      <w:pPr>
        <w:tabs>
          <w:tab w:val="left" w:pos="1260"/>
        </w:tabs>
        <w:spacing w:line="360" w:lineRule="auto"/>
        <w:ind w:firstLineChars="200" w:firstLine="482"/>
        <w:rPr>
          <w:rFonts w:ascii="宋体" w:hAnsi="宋体"/>
          <w:b/>
          <w:bCs/>
          <w:color w:val="000000"/>
          <w:kern w:val="0"/>
          <w:sz w:val="24"/>
        </w:rPr>
      </w:pPr>
      <w:r>
        <w:rPr>
          <w:rFonts w:ascii="宋体" w:hAnsi="宋体" w:hint="eastAsia"/>
          <w:b/>
          <w:bCs/>
          <w:color w:val="000000"/>
          <w:kern w:val="0"/>
          <w:sz w:val="24"/>
        </w:rPr>
        <w:lastRenderedPageBreak/>
        <w:t>（</w:t>
      </w:r>
      <w:r>
        <w:rPr>
          <w:rFonts w:ascii="宋体" w:hAnsi="宋体"/>
          <w:b/>
          <w:bCs/>
          <w:color w:val="000000"/>
          <w:kern w:val="0"/>
          <w:sz w:val="24"/>
        </w:rPr>
        <w:t>三</w:t>
      </w:r>
      <w:r>
        <w:rPr>
          <w:rFonts w:ascii="宋体" w:hAnsi="宋体" w:hint="eastAsia"/>
          <w:b/>
          <w:bCs/>
          <w:color w:val="000000"/>
          <w:kern w:val="0"/>
          <w:sz w:val="24"/>
        </w:rPr>
        <w:t>）</w:t>
      </w:r>
      <w:r>
        <w:rPr>
          <w:rFonts w:ascii="宋体" w:hAnsi="宋体"/>
          <w:b/>
          <w:bCs/>
          <w:color w:val="000000"/>
          <w:kern w:val="0"/>
          <w:sz w:val="24"/>
        </w:rPr>
        <w:t>实施</w:t>
      </w:r>
      <w:proofErr w:type="gramStart"/>
      <w:r>
        <w:rPr>
          <w:rFonts w:ascii="宋体" w:hAnsi="宋体"/>
          <w:b/>
          <w:bCs/>
          <w:color w:val="000000"/>
          <w:kern w:val="0"/>
          <w:sz w:val="24"/>
        </w:rPr>
        <w:t>侧袋机制</w:t>
      </w:r>
      <w:proofErr w:type="gramEnd"/>
      <w:r>
        <w:rPr>
          <w:rFonts w:ascii="宋体" w:hAnsi="宋体"/>
          <w:b/>
          <w:bCs/>
          <w:color w:val="000000"/>
          <w:kern w:val="0"/>
          <w:sz w:val="24"/>
        </w:rPr>
        <w:t>期间的收益分配</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本基金实施</w:t>
      </w:r>
      <w:proofErr w:type="gramStart"/>
      <w:r>
        <w:rPr>
          <w:rFonts w:ascii="宋体" w:hAnsi="宋体" w:hint="eastAsia"/>
          <w:color w:val="000000"/>
          <w:kern w:val="0"/>
          <w:sz w:val="24"/>
        </w:rPr>
        <w:t>侧袋机制</w:t>
      </w:r>
      <w:proofErr w:type="gramEnd"/>
      <w:r>
        <w:rPr>
          <w:rFonts w:ascii="宋体" w:hAnsi="宋体" w:hint="eastAsia"/>
          <w:color w:val="000000"/>
          <w:kern w:val="0"/>
          <w:sz w:val="24"/>
        </w:rPr>
        <w:t>的，</w:t>
      </w:r>
      <w:proofErr w:type="gramStart"/>
      <w:r>
        <w:rPr>
          <w:rFonts w:ascii="宋体" w:hAnsi="宋体" w:hint="eastAsia"/>
          <w:color w:val="000000"/>
          <w:kern w:val="0"/>
          <w:sz w:val="24"/>
        </w:rPr>
        <w:t>侧袋账户</w:t>
      </w:r>
      <w:proofErr w:type="gramEnd"/>
      <w:r>
        <w:rPr>
          <w:rFonts w:ascii="宋体" w:hAnsi="宋体" w:hint="eastAsia"/>
          <w:color w:val="000000"/>
          <w:kern w:val="0"/>
          <w:sz w:val="24"/>
        </w:rPr>
        <w:t>不进行收益分配，详见招募说明书的规定。</w:t>
      </w:r>
    </w:p>
    <w:p w:rsidR="004B7B94" w:rsidRDefault="00E10EAD">
      <w:pPr>
        <w:pStyle w:val="1"/>
        <w:spacing w:before="0" w:after="0"/>
        <w:ind w:firstLineChars="200" w:firstLine="482"/>
      </w:pPr>
      <w:bookmarkStart w:id="112" w:name="_Toc19483"/>
      <w:bookmarkStart w:id="113" w:name="_Toc59200026"/>
      <w:bookmarkStart w:id="114" w:name="_Toc5081"/>
      <w:bookmarkStart w:id="115" w:name="_Toc291504138"/>
      <w:r>
        <w:rPr>
          <w:rFonts w:hint="eastAsia"/>
        </w:rPr>
        <w:t>十、基金信息披露</w:t>
      </w:r>
      <w:bookmarkEnd w:id="108"/>
      <w:bookmarkEnd w:id="109"/>
      <w:bookmarkEnd w:id="110"/>
      <w:bookmarkEnd w:id="111"/>
      <w:bookmarkEnd w:id="112"/>
      <w:bookmarkEnd w:id="113"/>
      <w:bookmarkEnd w:id="114"/>
      <w:bookmarkEnd w:id="115"/>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116" w:name="_Toc77663026"/>
      <w:bookmarkStart w:id="117" w:name="_Toc22454466"/>
      <w:r>
        <w:rPr>
          <w:rFonts w:ascii="宋体" w:hAnsi="宋体" w:hint="eastAsia"/>
          <w:b/>
          <w:bCs/>
          <w:color w:val="000000"/>
          <w:sz w:val="24"/>
        </w:rPr>
        <w:t>（一）保密义务</w:t>
      </w:r>
      <w:bookmarkEnd w:id="116"/>
      <w:bookmarkEnd w:id="117"/>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不得向任何第三方泄露。法律、法规另有规定的以及审计需要的除外。</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如下情况不应视为基金管理人或基金托管人违反保密义务：</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、非因基金管理人和基金托管人的原因导致保密信息被披露、泄露或公开；</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、基金管理人和基金托管人为遵守和服从法院判决、仲裁裁决或中国证监会等监管机构的命令决定所做出的信息披露或公开。</w:t>
      </w:r>
      <w:bookmarkStart w:id="118" w:name="_Toc22454467"/>
      <w:bookmarkStart w:id="119" w:name="_Toc77663027"/>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w:t>
      </w:r>
      <w:r>
        <w:rPr>
          <w:rFonts w:ascii="宋体" w:hAnsi="宋体" w:hint="eastAsia"/>
          <w:b/>
          <w:bCs/>
          <w:color w:val="000000"/>
          <w:sz w:val="24"/>
        </w:rPr>
        <w:t>基金管理人和基金托管人在基金信息披露中的职责和信息披露程序</w:t>
      </w:r>
      <w:bookmarkEnd w:id="118"/>
      <w:bookmarkEnd w:id="119"/>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本基金信息披露的文件，包括《基金合同》规定的定期报告、临时报告、基金净值信息、实施</w:t>
      </w:r>
      <w:proofErr w:type="gramStart"/>
      <w:r>
        <w:rPr>
          <w:rFonts w:ascii="宋体" w:hAnsi="宋体" w:hint="eastAsia"/>
          <w:color w:val="000000"/>
          <w:kern w:val="0"/>
          <w:sz w:val="24"/>
        </w:rPr>
        <w:t>侧袋机制</w:t>
      </w:r>
      <w:proofErr w:type="gramEnd"/>
      <w:r>
        <w:rPr>
          <w:rFonts w:ascii="宋体" w:hAnsi="宋体" w:hint="eastAsia"/>
          <w:color w:val="000000"/>
          <w:kern w:val="0"/>
          <w:sz w:val="24"/>
        </w:rPr>
        <w:t>期间的信息披露及中国证监会规定的其他必要的公告文件，由基金管理人拟定并公布。对于不</w:t>
      </w:r>
      <w:r>
        <w:rPr>
          <w:rFonts w:ascii="宋体" w:hAnsi="宋体" w:hint="eastAsia"/>
          <w:color w:val="000000"/>
          <w:kern w:val="0"/>
          <w:sz w:val="24"/>
        </w:rPr>
        <w:t>需要基金托管人</w:t>
      </w:r>
      <w:r>
        <w:rPr>
          <w:rFonts w:ascii="宋体" w:hAnsi="宋体" w:hint="eastAsia"/>
          <w:color w:val="000000"/>
          <w:kern w:val="0"/>
          <w:sz w:val="24"/>
        </w:rPr>
        <w:t>(</w:t>
      </w:r>
      <w:r>
        <w:rPr>
          <w:rFonts w:ascii="宋体" w:hAnsi="宋体" w:hint="eastAsia"/>
          <w:color w:val="000000"/>
          <w:kern w:val="0"/>
          <w:sz w:val="24"/>
        </w:rPr>
        <w:t>或基金管理人</w:t>
      </w:r>
      <w:r>
        <w:rPr>
          <w:rFonts w:ascii="宋体" w:hAnsi="宋体" w:hint="eastAsia"/>
          <w:color w:val="000000"/>
          <w:kern w:val="0"/>
          <w:sz w:val="24"/>
        </w:rPr>
        <w:t>)</w:t>
      </w:r>
      <w:r>
        <w:rPr>
          <w:rFonts w:ascii="宋体" w:hAnsi="宋体" w:hint="eastAsia"/>
          <w:color w:val="000000"/>
          <w:kern w:val="0"/>
          <w:sz w:val="24"/>
        </w:rPr>
        <w:t>复核的信息，基金管理人</w:t>
      </w:r>
      <w:r>
        <w:rPr>
          <w:rFonts w:ascii="宋体" w:hAnsi="宋体" w:hint="eastAsia"/>
          <w:color w:val="000000"/>
          <w:kern w:val="0"/>
          <w:sz w:val="24"/>
        </w:rPr>
        <w:t>(</w:t>
      </w:r>
      <w:r>
        <w:rPr>
          <w:rFonts w:ascii="宋体" w:hAnsi="宋体" w:hint="eastAsia"/>
          <w:color w:val="000000"/>
          <w:kern w:val="0"/>
          <w:sz w:val="24"/>
        </w:rPr>
        <w:t>或基金托管人</w:t>
      </w:r>
      <w:r>
        <w:rPr>
          <w:rFonts w:ascii="宋体" w:hAnsi="宋体" w:hint="eastAsia"/>
          <w:color w:val="000000"/>
          <w:kern w:val="0"/>
          <w:sz w:val="24"/>
        </w:rPr>
        <w:t>)</w:t>
      </w:r>
      <w:r>
        <w:rPr>
          <w:rFonts w:ascii="宋体" w:hAnsi="宋体" w:hint="eastAsia"/>
          <w:color w:val="000000"/>
          <w:kern w:val="0"/>
          <w:sz w:val="24"/>
        </w:rPr>
        <w:t>在公告前应告知基金托管人</w:t>
      </w:r>
      <w:r>
        <w:rPr>
          <w:rFonts w:ascii="宋体" w:hAnsi="宋体" w:hint="eastAsia"/>
          <w:color w:val="000000"/>
          <w:kern w:val="0"/>
          <w:sz w:val="24"/>
        </w:rPr>
        <w:t>(</w:t>
      </w:r>
      <w:r>
        <w:rPr>
          <w:rFonts w:ascii="宋体" w:hAnsi="宋体" w:hint="eastAsia"/>
          <w:color w:val="000000"/>
          <w:kern w:val="0"/>
          <w:sz w:val="24"/>
        </w:rPr>
        <w:t>或基金</w:t>
      </w:r>
      <w:r>
        <w:rPr>
          <w:rFonts w:ascii="宋体" w:hAnsi="宋体" w:hint="eastAsia"/>
          <w:color w:val="000000"/>
          <w:kern w:val="0"/>
          <w:sz w:val="24"/>
        </w:rPr>
        <w:lastRenderedPageBreak/>
        <w:t>管理人</w:t>
      </w:r>
      <w:r>
        <w:rPr>
          <w:rFonts w:ascii="宋体" w:hAnsi="宋体" w:hint="eastAsia"/>
          <w:color w:val="000000"/>
          <w:kern w:val="0"/>
          <w:sz w:val="24"/>
        </w:rPr>
        <w:t>)</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基金托管人应按本协议第八条第（七）款的规定对相关报告进行复核。基金年报经有证券、期货相关业务资格的会计师事务所审计后方可披露。</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本基金的信息披露公告，必须在证监会指定媒介发布。</w:t>
      </w:r>
      <w:bookmarkStart w:id="120" w:name="_Toc466788862"/>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（三）暂停或延迟信息披露的情形</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、基金投资所涉及的证券</w:t>
      </w:r>
      <w:r>
        <w:rPr>
          <w:rFonts w:ascii="宋体" w:hAnsi="宋体" w:hint="eastAsia"/>
          <w:color w:val="000000"/>
          <w:kern w:val="0"/>
          <w:sz w:val="24"/>
        </w:rPr>
        <w:t>/</w:t>
      </w:r>
      <w:r>
        <w:rPr>
          <w:rFonts w:ascii="宋体" w:hAnsi="宋体" w:hint="eastAsia"/>
          <w:color w:val="000000"/>
          <w:kern w:val="0"/>
          <w:sz w:val="24"/>
        </w:rPr>
        <w:t>期货交易所遇法定节假日或因其他原因暂停营业时；</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、因不可抗力或其他情形致使基金管理人、基金托管人无法准确评估基金资产价值时；</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、出现会导致基金管理人不能出售或评</w:t>
      </w:r>
      <w:r>
        <w:rPr>
          <w:rFonts w:ascii="宋体" w:hAnsi="宋体" w:hint="eastAsia"/>
          <w:color w:val="000000"/>
          <w:kern w:val="0"/>
          <w:sz w:val="24"/>
        </w:rPr>
        <w:t>估基金资产的紧急事故的任何情况；</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color w:val="000000"/>
          <w:kern w:val="0"/>
          <w:sz w:val="24"/>
        </w:rPr>
        <w:t>4</w:t>
      </w:r>
      <w:r>
        <w:rPr>
          <w:rFonts w:ascii="宋体" w:hAnsi="宋体" w:hint="eastAsia"/>
          <w:color w:val="000000"/>
          <w:kern w:val="0"/>
          <w:sz w:val="24"/>
        </w:rPr>
        <w:t>、法律、法规规定、中国证监会或基金合同认定的其他情形。</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（四）基金托管人报告</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基金托管人应按《基金法》和中国证监会的有关规定出具基金托管情况报告。基金托管人报告</w:t>
      </w:r>
      <w:proofErr w:type="gramStart"/>
      <w:r>
        <w:rPr>
          <w:rFonts w:ascii="宋体" w:hAnsi="宋体" w:hint="eastAsia"/>
          <w:color w:val="000000"/>
          <w:kern w:val="0"/>
          <w:sz w:val="24"/>
        </w:rPr>
        <w:t>说明该半年度</w:t>
      </w:r>
      <w:proofErr w:type="gramEnd"/>
      <w:r>
        <w:rPr>
          <w:rFonts w:ascii="宋体" w:hAnsi="宋体" w:hint="eastAsia"/>
          <w:color w:val="000000"/>
          <w:kern w:val="0"/>
          <w:sz w:val="24"/>
        </w:rPr>
        <w:t>/</w:t>
      </w:r>
      <w:r>
        <w:rPr>
          <w:rFonts w:ascii="宋体" w:hAnsi="宋体" w:hint="eastAsia"/>
          <w:color w:val="000000"/>
          <w:kern w:val="0"/>
          <w:sz w:val="24"/>
        </w:rPr>
        <w:t>年度基金托管人和基金管理人履行《基金合同》的情况，是基金中期报告和年度报告的组成部分。</w:t>
      </w:r>
      <w:bookmarkStart w:id="121" w:name="_Toc125892447"/>
    </w:p>
    <w:p w:rsidR="004B7B94" w:rsidRDefault="00E10EAD">
      <w:pPr>
        <w:tabs>
          <w:tab w:val="left" w:pos="1260"/>
        </w:tabs>
        <w:spacing w:line="360" w:lineRule="auto"/>
        <w:ind w:firstLineChars="200" w:firstLine="482"/>
        <w:rPr>
          <w:rFonts w:ascii="宋体" w:hAnsi="宋体"/>
          <w:b/>
          <w:bCs/>
          <w:color w:val="000000"/>
          <w:kern w:val="0"/>
          <w:sz w:val="24"/>
        </w:rPr>
      </w:pPr>
      <w:r>
        <w:rPr>
          <w:rFonts w:ascii="宋体" w:hAnsi="宋体" w:hint="eastAsia"/>
          <w:b/>
          <w:bCs/>
          <w:color w:val="000000"/>
          <w:kern w:val="0"/>
          <w:sz w:val="24"/>
        </w:rPr>
        <w:t>（五）实施</w:t>
      </w:r>
      <w:proofErr w:type="gramStart"/>
      <w:r>
        <w:rPr>
          <w:rFonts w:ascii="宋体" w:hAnsi="宋体" w:hint="eastAsia"/>
          <w:b/>
          <w:bCs/>
          <w:color w:val="000000"/>
          <w:kern w:val="0"/>
          <w:sz w:val="24"/>
        </w:rPr>
        <w:t>侧袋机制</w:t>
      </w:r>
      <w:proofErr w:type="gramEnd"/>
      <w:r>
        <w:rPr>
          <w:rFonts w:ascii="宋体" w:hAnsi="宋体" w:hint="eastAsia"/>
          <w:b/>
          <w:bCs/>
          <w:color w:val="000000"/>
          <w:kern w:val="0"/>
          <w:sz w:val="24"/>
        </w:rPr>
        <w:t>期间的信息披露</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本基金实施</w:t>
      </w:r>
      <w:proofErr w:type="gramStart"/>
      <w:r>
        <w:rPr>
          <w:rFonts w:ascii="宋体" w:hAnsi="宋体" w:hint="eastAsia"/>
          <w:color w:val="000000"/>
          <w:kern w:val="0"/>
          <w:sz w:val="24"/>
        </w:rPr>
        <w:t>侧袋机制</w:t>
      </w:r>
      <w:proofErr w:type="gramEnd"/>
      <w:r>
        <w:rPr>
          <w:rFonts w:ascii="宋体" w:hAnsi="宋体" w:hint="eastAsia"/>
          <w:color w:val="000000"/>
          <w:kern w:val="0"/>
          <w:sz w:val="24"/>
        </w:rPr>
        <w:t>的，相关信息披露义务人应当根据法律法规、基金合同和招募说明书的规定进行信息披露，详见招募说明书的规定。</w:t>
      </w:r>
    </w:p>
    <w:p w:rsidR="004B7B94" w:rsidRDefault="00E10EAD">
      <w:pPr>
        <w:pStyle w:val="1"/>
        <w:spacing w:before="0" w:after="0"/>
        <w:ind w:firstLineChars="200" w:firstLine="482"/>
      </w:pPr>
      <w:bookmarkStart w:id="122" w:name="_Toc291504139"/>
      <w:bookmarkStart w:id="123" w:name="_Toc59200027"/>
      <w:bookmarkStart w:id="124" w:name="_Toc11218"/>
      <w:bookmarkStart w:id="125" w:name="_Toc24835"/>
      <w:r>
        <w:rPr>
          <w:rFonts w:hint="eastAsia"/>
        </w:rPr>
        <w:t>十一、基金费用</w:t>
      </w:r>
      <w:bookmarkEnd w:id="121"/>
      <w:bookmarkEnd w:id="122"/>
      <w:bookmarkEnd w:id="123"/>
      <w:bookmarkEnd w:id="124"/>
      <w:bookmarkEnd w:id="125"/>
    </w:p>
    <w:p w:rsidR="004B7B94" w:rsidRDefault="00E10EAD">
      <w:pPr>
        <w:tabs>
          <w:tab w:val="left" w:pos="1260"/>
        </w:tabs>
        <w:spacing w:line="360" w:lineRule="auto"/>
        <w:ind w:firstLineChars="200" w:firstLine="482"/>
        <w:rPr>
          <w:rFonts w:ascii="宋体" w:hAnsi="宋体"/>
          <w:b/>
          <w:color w:val="000000"/>
          <w:kern w:val="0"/>
          <w:sz w:val="24"/>
        </w:rPr>
      </w:pPr>
      <w:r>
        <w:rPr>
          <w:rFonts w:ascii="宋体" w:hAnsi="宋体" w:hint="eastAsia"/>
          <w:b/>
          <w:color w:val="000000"/>
          <w:kern w:val="0"/>
          <w:sz w:val="24"/>
        </w:rPr>
        <w:t>（一）基金管理人的管理费</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本基金的管理费率为年费率</w:t>
      </w:r>
      <w:r>
        <w:rPr>
          <w:rFonts w:ascii="宋体" w:hAnsi="宋体" w:hint="eastAsia"/>
          <w:color w:val="000000"/>
          <w:kern w:val="0"/>
          <w:sz w:val="24"/>
        </w:rPr>
        <w:t>0.60%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在通常情况下，基金管理费按前一日基金资产净值的年费率计提。计算方</w:t>
      </w:r>
      <w:r>
        <w:rPr>
          <w:rFonts w:ascii="宋体" w:hAnsi="宋体" w:hint="eastAsia"/>
          <w:color w:val="000000"/>
          <w:kern w:val="0"/>
          <w:sz w:val="24"/>
        </w:rPr>
        <w:lastRenderedPageBreak/>
        <w:t>法如下：</w:t>
      </w:r>
    </w:p>
    <w:p w:rsidR="004B7B94" w:rsidRDefault="00E10EAD">
      <w:pPr>
        <w:spacing w:line="360" w:lineRule="auto"/>
        <w:ind w:firstLineChars="200" w:firstLine="480"/>
        <w:rPr>
          <w:color w:val="000000"/>
          <w:sz w:val="24"/>
        </w:rPr>
      </w:pPr>
      <w:r>
        <w:rPr>
          <w:color w:val="000000"/>
          <w:sz w:val="24"/>
        </w:rPr>
        <w:t>H</w:t>
      </w:r>
      <w:r>
        <w:rPr>
          <w:rFonts w:hint="eastAsia"/>
          <w:color w:val="000000"/>
          <w:sz w:val="24"/>
        </w:rPr>
        <w:t>＝</w:t>
      </w:r>
      <w:r>
        <w:rPr>
          <w:color w:val="000000"/>
          <w:sz w:val="24"/>
        </w:rPr>
        <w:t>E</w:t>
      </w:r>
      <w:r>
        <w:rPr>
          <w:rFonts w:hint="eastAsia"/>
          <w:color w:val="000000"/>
          <w:sz w:val="24"/>
        </w:rPr>
        <w:t>×年管理费率÷当年天数</w:t>
      </w:r>
    </w:p>
    <w:p w:rsidR="004B7B94" w:rsidRDefault="00E10EAD">
      <w:pPr>
        <w:spacing w:line="360" w:lineRule="auto"/>
        <w:ind w:firstLineChars="200" w:firstLine="480"/>
        <w:rPr>
          <w:color w:val="000000"/>
          <w:sz w:val="24"/>
        </w:rPr>
      </w:pPr>
      <w:r>
        <w:rPr>
          <w:color w:val="000000"/>
          <w:sz w:val="24"/>
        </w:rPr>
        <w:t>H</w:t>
      </w:r>
      <w:r>
        <w:rPr>
          <w:rFonts w:hint="eastAsia"/>
          <w:color w:val="000000"/>
          <w:sz w:val="24"/>
        </w:rPr>
        <w:t>为每日应计提的基金管理费</w:t>
      </w:r>
    </w:p>
    <w:p w:rsidR="004B7B94" w:rsidRDefault="00E10EAD">
      <w:pPr>
        <w:spacing w:line="360" w:lineRule="auto"/>
        <w:ind w:firstLineChars="200" w:firstLine="480"/>
        <w:rPr>
          <w:color w:val="000000"/>
          <w:sz w:val="24"/>
        </w:rPr>
      </w:pPr>
      <w:r>
        <w:rPr>
          <w:color w:val="000000"/>
          <w:sz w:val="24"/>
        </w:rPr>
        <w:t>E</w:t>
      </w:r>
      <w:r>
        <w:rPr>
          <w:rFonts w:hint="eastAsia"/>
          <w:color w:val="000000"/>
          <w:sz w:val="24"/>
        </w:rPr>
        <w:t>为前一日基金资产净值</w:t>
      </w:r>
    </w:p>
    <w:p w:rsidR="004B7B94" w:rsidRDefault="00E10EAD">
      <w:pPr>
        <w:tabs>
          <w:tab w:val="left" w:pos="1260"/>
        </w:tabs>
        <w:spacing w:line="360" w:lineRule="auto"/>
        <w:ind w:firstLineChars="200" w:firstLine="482"/>
        <w:rPr>
          <w:rFonts w:ascii="宋体" w:hAnsi="宋体"/>
          <w:b/>
          <w:color w:val="000000"/>
          <w:kern w:val="0"/>
          <w:sz w:val="24"/>
        </w:rPr>
      </w:pPr>
      <w:r>
        <w:rPr>
          <w:rFonts w:ascii="宋体" w:hAnsi="宋体" w:hint="eastAsia"/>
          <w:b/>
          <w:color w:val="000000"/>
          <w:kern w:val="0"/>
          <w:sz w:val="24"/>
        </w:rPr>
        <w:t>（二）基金托管人的托管费</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本基金的托管费率为年费率</w:t>
      </w:r>
      <w:r>
        <w:rPr>
          <w:rFonts w:ascii="宋体" w:hAnsi="宋体" w:hint="eastAsia"/>
          <w:color w:val="000000"/>
          <w:kern w:val="0"/>
          <w:sz w:val="24"/>
        </w:rPr>
        <w:t>0.10%</w:t>
      </w:r>
      <w:r>
        <w:rPr>
          <w:rFonts w:ascii="宋体" w:hAnsi="宋体" w:hint="eastAsia"/>
          <w:color w:val="000000"/>
          <w:kern w:val="0"/>
          <w:sz w:val="24"/>
        </w:rPr>
        <w:t>。</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在通常情况下，基金托管费按前一日基金资产净值的年费率计提。计算方法如下：</w:t>
      </w:r>
    </w:p>
    <w:p w:rsidR="004B7B94" w:rsidRDefault="00E10EAD">
      <w:pPr>
        <w:spacing w:line="360" w:lineRule="auto"/>
        <w:ind w:firstLineChars="200" w:firstLine="480"/>
        <w:rPr>
          <w:color w:val="000000"/>
          <w:sz w:val="24"/>
        </w:rPr>
      </w:pPr>
      <w:r>
        <w:rPr>
          <w:color w:val="000000"/>
          <w:sz w:val="24"/>
        </w:rPr>
        <w:t>H=E</w:t>
      </w:r>
      <w:r>
        <w:rPr>
          <w:rFonts w:hint="eastAsia"/>
          <w:color w:val="000000"/>
          <w:sz w:val="24"/>
        </w:rPr>
        <w:t>×年托管费率÷当年天数</w:t>
      </w:r>
    </w:p>
    <w:p w:rsidR="004B7B94" w:rsidRDefault="00E10EAD">
      <w:pPr>
        <w:spacing w:line="360" w:lineRule="auto"/>
        <w:ind w:firstLineChars="200" w:firstLine="480"/>
        <w:rPr>
          <w:color w:val="000000"/>
          <w:sz w:val="24"/>
        </w:rPr>
      </w:pPr>
      <w:r>
        <w:rPr>
          <w:color w:val="000000"/>
          <w:sz w:val="24"/>
        </w:rPr>
        <w:t>H</w:t>
      </w:r>
      <w:r>
        <w:rPr>
          <w:rFonts w:hint="eastAsia"/>
          <w:color w:val="000000"/>
          <w:sz w:val="24"/>
        </w:rPr>
        <w:t>为每日应计提的基金托管费</w:t>
      </w:r>
    </w:p>
    <w:p w:rsidR="004B7B94" w:rsidRDefault="00E10EAD">
      <w:pPr>
        <w:spacing w:line="360" w:lineRule="auto"/>
        <w:ind w:firstLineChars="200" w:firstLine="480"/>
        <w:rPr>
          <w:color w:val="000000"/>
          <w:sz w:val="24"/>
        </w:rPr>
      </w:pPr>
      <w:r>
        <w:rPr>
          <w:color w:val="000000"/>
          <w:sz w:val="24"/>
        </w:rPr>
        <w:t>E</w:t>
      </w:r>
      <w:r>
        <w:rPr>
          <w:rFonts w:hint="eastAsia"/>
          <w:color w:val="000000"/>
          <w:sz w:val="24"/>
        </w:rPr>
        <w:t>为前一日基金资产净值</w:t>
      </w:r>
    </w:p>
    <w:p w:rsidR="004B7B94" w:rsidRDefault="00E10EAD">
      <w:pPr>
        <w:spacing w:line="360" w:lineRule="auto"/>
        <w:ind w:firstLineChars="200" w:firstLine="482"/>
        <w:rPr>
          <w:rFonts w:ascii="宋体" w:hAnsi="宋体"/>
          <w:b/>
          <w:color w:val="000000"/>
          <w:kern w:val="0"/>
          <w:sz w:val="24"/>
        </w:rPr>
      </w:pPr>
      <w:r>
        <w:rPr>
          <w:rFonts w:ascii="宋体" w:hAnsi="宋体" w:hint="eastAsia"/>
          <w:b/>
          <w:color w:val="000000"/>
          <w:kern w:val="0"/>
          <w:sz w:val="24"/>
        </w:rPr>
        <w:t>（三）基金销售服务费</w:t>
      </w:r>
    </w:p>
    <w:p w:rsidR="004B7B94" w:rsidRDefault="00E10EAD">
      <w:pPr>
        <w:spacing w:line="360" w:lineRule="auto"/>
        <w:ind w:firstLineChars="200" w:firstLine="480"/>
      </w:pPr>
      <w:r>
        <w:rPr>
          <w:rFonts w:ascii="宋体" w:hAnsi="宋体" w:hint="eastAsia"/>
          <w:color w:val="000000"/>
          <w:kern w:val="0"/>
          <w:sz w:val="24"/>
        </w:rPr>
        <w:t>本基金</w:t>
      </w:r>
      <w:r>
        <w:rPr>
          <w:rFonts w:ascii="宋体" w:hAnsi="宋体"/>
          <w:color w:val="000000"/>
          <w:kern w:val="0"/>
          <w:sz w:val="24"/>
        </w:rPr>
        <w:t>A</w:t>
      </w:r>
      <w:r>
        <w:rPr>
          <w:rFonts w:ascii="宋体" w:hAnsi="宋体"/>
          <w:color w:val="000000"/>
          <w:kern w:val="0"/>
          <w:sz w:val="24"/>
        </w:rPr>
        <w:t>类基金份额不收取销售服务费，</w:t>
      </w:r>
      <w:r>
        <w:rPr>
          <w:rFonts w:ascii="宋体" w:hAnsi="宋体"/>
          <w:color w:val="000000"/>
          <w:kern w:val="0"/>
          <w:sz w:val="24"/>
        </w:rPr>
        <w:t>C</w:t>
      </w:r>
      <w:r>
        <w:rPr>
          <w:rFonts w:ascii="宋体" w:hAnsi="宋体"/>
          <w:color w:val="000000"/>
          <w:kern w:val="0"/>
          <w:sz w:val="24"/>
        </w:rPr>
        <w:t>类基金份额</w:t>
      </w:r>
      <w:r>
        <w:rPr>
          <w:rFonts w:hint="eastAsia"/>
        </w:rPr>
        <w:t>的</w:t>
      </w:r>
      <w:r>
        <w:rPr>
          <w:rFonts w:ascii="宋体" w:hAnsi="宋体" w:hint="eastAsia"/>
          <w:color w:val="000000"/>
          <w:kern w:val="0"/>
          <w:sz w:val="24"/>
        </w:rPr>
        <w:t>销售服务费</w:t>
      </w:r>
      <w:r>
        <w:rPr>
          <w:rFonts w:hint="eastAsia"/>
        </w:rPr>
        <w:t>为年费率</w:t>
      </w:r>
      <w:r>
        <w:t>0.</w:t>
      </w:r>
      <w:r>
        <w:rPr>
          <w:rFonts w:ascii="宋体" w:hAnsi="宋体"/>
          <w:color w:val="000000"/>
          <w:kern w:val="0"/>
          <w:sz w:val="24"/>
        </w:rPr>
        <w:t>4</w:t>
      </w:r>
      <w:r>
        <w:t>0</w:t>
      </w:r>
      <w:r>
        <w:t>%</w:t>
      </w:r>
      <w:r>
        <w:rPr>
          <w:rFonts w:hint="eastAsia"/>
        </w:rPr>
        <w:t>。</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在通常情况下，基金销售服务费按前一日基金资产净值的年费率计提。计算方法如下：</w:t>
      </w:r>
    </w:p>
    <w:p w:rsidR="004B7B94" w:rsidRDefault="00E10EAD">
      <w:pPr>
        <w:spacing w:line="360" w:lineRule="auto"/>
        <w:ind w:firstLineChars="200" w:firstLine="480"/>
        <w:rPr>
          <w:rFonts w:ascii="宋体" w:hAnsi="宋体"/>
          <w:color w:val="000000"/>
          <w:kern w:val="0"/>
          <w:sz w:val="24"/>
        </w:rPr>
      </w:pPr>
      <w:r>
        <w:rPr>
          <w:rFonts w:ascii="宋体" w:hAnsi="宋体"/>
          <w:color w:val="000000"/>
          <w:kern w:val="0"/>
          <w:sz w:val="24"/>
        </w:rPr>
        <w:t>H</w:t>
      </w:r>
      <w:r>
        <w:rPr>
          <w:rFonts w:ascii="宋体" w:hAnsi="宋体"/>
          <w:color w:val="000000"/>
          <w:kern w:val="0"/>
          <w:sz w:val="24"/>
        </w:rPr>
        <w:t>＝</w:t>
      </w:r>
      <w:r>
        <w:rPr>
          <w:rFonts w:ascii="宋体" w:hAnsi="宋体"/>
          <w:color w:val="000000"/>
          <w:kern w:val="0"/>
          <w:sz w:val="24"/>
        </w:rPr>
        <w:t>E×</w:t>
      </w:r>
      <w:r>
        <w:rPr>
          <w:rFonts w:ascii="宋体" w:hAnsi="宋体" w:hint="eastAsia"/>
          <w:color w:val="000000"/>
          <w:kern w:val="0"/>
          <w:sz w:val="24"/>
        </w:rPr>
        <w:t>年销售服务费率÷当年天数</w:t>
      </w:r>
    </w:p>
    <w:p w:rsidR="004B7B94" w:rsidRDefault="00E10EAD">
      <w:pPr>
        <w:spacing w:line="360" w:lineRule="auto"/>
        <w:ind w:firstLineChars="200" w:firstLine="480"/>
        <w:rPr>
          <w:rFonts w:ascii="宋体" w:hAnsi="宋体"/>
          <w:color w:val="000000"/>
          <w:kern w:val="0"/>
          <w:sz w:val="24"/>
        </w:rPr>
      </w:pPr>
      <w:r>
        <w:rPr>
          <w:rFonts w:ascii="宋体" w:hAnsi="宋体"/>
          <w:color w:val="000000"/>
          <w:kern w:val="0"/>
          <w:sz w:val="24"/>
        </w:rPr>
        <w:t>H</w:t>
      </w:r>
      <w:r>
        <w:rPr>
          <w:rFonts w:ascii="宋体" w:hAnsi="宋体"/>
          <w:color w:val="000000"/>
          <w:kern w:val="0"/>
          <w:sz w:val="24"/>
        </w:rPr>
        <w:t>为</w:t>
      </w:r>
      <w:r>
        <w:rPr>
          <w:rFonts w:ascii="宋体" w:hAnsi="宋体"/>
          <w:color w:val="000000"/>
          <w:kern w:val="0"/>
          <w:sz w:val="24"/>
        </w:rPr>
        <w:t>C</w:t>
      </w:r>
      <w:r>
        <w:rPr>
          <w:rFonts w:ascii="宋体" w:hAnsi="宋体"/>
          <w:color w:val="000000"/>
          <w:kern w:val="0"/>
          <w:sz w:val="24"/>
        </w:rPr>
        <w:t>类基金份额每日应计提的销售服务费</w:t>
      </w:r>
    </w:p>
    <w:p w:rsidR="004B7B94" w:rsidRDefault="00E10EAD">
      <w:pPr>
        <w:spacing w:line="360" w:lineRule="auto"/>
        <w:ind w:firstLineChars="200" w:firstLine="480"/>
        <w:rPr>
          <w:rFonts w:ascii="宋体" w:hAnsi="宋体"/>
          <w:color w:val="000000"/>
          <w:kern w:val="0"/>
          <w:sz w:val="24"/>
        </w:rPr>
      </w:pPr>
      <w:r>
        <w:rPr>
          <w:rFonts w:ascii="宋体" w:hAnsi="宋体"/>
          <w:color w:val="000000"/>
          <w:kern w:val="0"/>
          <w:sz w:val="24"/>
        </w:rPr>
        <w:t>E</w:t>
      </w:r>
      <w:r>
        <w:rPr>
          <w:rFonts w:ascii="宋体" w:hAnsi="宋体"/>
          <w:color w:val="000000"/>
          <w:kern w:val="0"/>
          <w:sz w:val="24"/>
        </w:rPr>
        <w:t>为</w:t>
      </w:r>
      <w:r>
        <w:rPr>
          <w:rFonts w:ascii="宋体" w:hAnsi="宋体"/>
          <w:color w:val="000000"/>
          <w:kern w:val="0"/>
          <w:sz w:val="24"/>
        </w:rPr>
        <w:t>C</w:t>
      </w:r>
      <w:r>
        <w:rPr>
          <w:rFonts w:ascii="宋体" w:hAnsi="宋体"/>
          <w:color w:val="000000"/>
          <w:kern w:val="0"/>
          <w:sz w:val="24"/>
        </w:rPr>
        <w:t>类基金份额前一日基金资产净值</w:t>
      </w:r>
    </w:p>
    <w:p w:rsidR="004B7B94" w:rsidRDefault="00E10EAD">
      <w:pPr>
        <w:autoSpaceDE w:val="0"/>
        <w:autoSpaceDN w:val="0"/>
        <w:adjustRightInd w:val="0"/>
        <w:spacing w:line="360" w:lineRule="auto"/>
        <w:ind w:firstLineChars="200" w:firstLine="482"/>
        <w:rPr>
          <w:rFonts w:ascii="宋体" w:hAnsi="宋体"/>
          <w:color w:val="000000"/>
          <w:kern w:val="0"/>
          <w:sz w:val="24"/>
        </w:rPr>
      </w:pPr>
      <w:r>
        <w:rPr>
          <w:rFonts w:ascii="宋体" w:hAnsi="宋体" w:hint="eastAsia"/>
          <w:b/>
          <w:color w:val="000000"/>
          <w:kern w:val="0"/>
          <w:sz w:val="24"/>
        </w:rPr>
        <w:t>（四）</w:t>
      </w:r>
      <w:r>
        <w:rPr>
          <w:rFonts w:ascii="宋体" w:hAnsi="宋体" w:hint="eastAsia"/>
          <w:color w:val="000000"/>
          <w:kern w:val="0"/>
          <w:sz w:val="24"/>
        </w:rPr>
        <w:t>从基金资产中列支基金管理人的管理费、基金托管人的托管费、基金销售服务费之外的其他基金费用，应当依据有关法律、法规、《基金合同》的规定，按费用实际支出金额列入当期费用，由基金托管人从基金财产中支付；</w:t>
      </w:r>
      <w:r>
        <w:rPr>
          <w:rFonts w:ascii="宋体" w:hAnsi="宋体" w:hint="eastAsia"/>
          <w:color w:val="000000"/>
          <w:kern w:val="0"/>
          <w:sz w:val="24"/>
        </w:rPr>
        <w:lastRenderedPageBreak/>
        <w:t>基金管理人和基金托管人因未履行或未完全履行义务导致的费用支出或基金财产的损失，以及处理与基金运作无关的事项发生的费用</w:t>
      </w:r>
      <w:r>
        <w:rPr>
          <w:rFonts w:ascii="宋体" w:hAnsi="宋体" w:hint="eastAsia"/>
          <w:color w:val="000000"/>
          <w:kern w:val="0"/>
          <w:sz w:val="24"/>
        </w:rPr>
        <w:t>等不列入基金费用。基金合同生效之前的律师费、会计师费、诉讼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bookmarkStart w:id="126" w:name="_Toc125892448"/>
    </w:p>
    <w:p w:rsidR="004B7B94" w:rsidRDefault="00E10EAD">
      <w:pPr>
        <w:autoSpaceDE w:val="0"/>
        <w:autoSpaceDN w:val="0"/>
        <w:adjustRightInd w:val="0"/>
        <w:spacing w:line="360" w:lineRule="auto"/>
        <w:ind w:firstLineChars="200" w:firstLine="482"/>
        <w:rPr>
          <w:rFonts w:ascii="宋体" w:hAnsi="宋体"/>
          <w:b/>
          <w:color w:val="000000"/>
          <w:kern w:val="0"/>
          <w:sz w:val="24"/>
        </w:rPr>
      </w:pPr>
      <w:r>
        <w:rPr>
          <w:rFonts w:ascii="宋体" w:hAnsi="宋体" w:hint="eastAsia"/>
          <w:b/>
          <w:color w:val="000000"/>
          <w:kern w:val="0"/>
          <w:sz w:val="24"/>
        </w:rPr>
        <w:t>（</w:t>
      </w:r>
      <w:bookmarkStart w:id="127" w:name="_Hlk64539057"/>
      <w:r>
        <w:rPr>
          <w:rFonts w:ascii="宋体" w:hAnsi="宋体" w:hint="eastAsia"/>
          <w:b/>
          <w:color w:val="000000"/>
          <w:kern w:val="0"/>
          <w:sz w:val="24"/>
        </w:rPr>
        <w:t>五）</w:t>
      </w:r>
      <w:bookmarkEnd w:id="127"/>
      <w:r>
        <w:rPr>
          <w:rFonts w:ascii="宋体" w:hAnsi="宋体" w:hint="eastAsia"/>
          <w:b/>
          <w:color w:val="000000"/>
          <w:kern w:val="0"/>
          <w:sz w:val="24"/>
        </w:rPr>
        <w:t>基金管理费、基金托管费和基金销售服务费的复核程序、支付方式和时间</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复核程序</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基金托管人对基金管理人计提的基金管理费、基金托管费、基金销售服务费等，根据本托管协议和《基金合同》的有关规定进行复核。</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支付方式和时间</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基金管理费每日计提，按月支付。由基金管理人向基金托管人发送基金管理费划付指令，经基金托管人复核后于次月前</w:t>
      </w:r>
      <w:r>
        <w:rPr>
          <w:rFonts w:ascii="宋体" w:hAnsi="宋体" w:hint="eastAsia"/>
          <w:color w:val="000000"/>
          <w:kern w:val="0"/>
          <w:sz w:val="24"/>
        </w:rPr>
        <w:t>5</w:t>
      </w:r>
      <w:r>
        <w:rPr>
          <w:rFonts w:ascii="宋体" w:hAnsi="宋体" w:hint="eastAsia"/>
          <w:color w:val="000000"/>
          <w:kern w:val="0"/>
          <w:sz w:val="24"/>
        </w:rPr>
        <w:t>个工作日内从基金财产中一次性支付给基金管理人。</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基金托管费每日计提，按月支付。由基金管理人向基金托管人发送基金托管费划付指令，基金托管人复核后于次月前</w:t>
      </w:r>
      <w:r>
        <w:rPr>
          <w:rFonts w:ascii="宋体" w:hAnsi="宋体" w:hint="eastAsia"/>
          <w:color w:val="000000"/>
          <w:kern w:val="0"/>
          <w:sz w:val="24"/>
        </w:rPr>
        <w:t>5</w:t>
      </w:r>
      <w:r>
        <w:rPr>
          <w:rFonts w:ascii="宋体" w:hAnsi="宋体" w:hint="eastAsia"/>
          <w:color w:val="000000"/>
          <w:kern w:val="0"/>
          <w:sz w:val="24"/>
        </w:rPr>
        <w:t>个工作日内从基金财产中一次性支付给基金托管人。</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基金销售服务费每日计提，逐日累计至每个月月末，按月支付。由基金托管</w:t>
      </w:r>
      <w:r>
        <w:rPr>
          <w:rFonts w:ascii="宋体" w:hAnsi="宋体" w:hint="eastAsia"/>
          <w:color w:val="000000"/>
          <w:kern w:val="0"/>
          <w:sz w:val="24"/>
        </w:rPr>
        <w:t>人根据与基金管理人核对一致的财务数据，自动在次月月初</w:t>
      </w:r>
      <w:r>
        <w:rPr>
          <w:rFonts w:ascii="宋体" w:hAnsi="宋体"/>
          <w:color w:val="000000"/>
          <w:kern w:val="0"/>
          <w:sz w:val="24"/>
        </w:rPr>
        <w:t>5</w:t>
      </w:r>
      <w:r>
        <w:rPr>
          <w:rFonts w:ascii="宋体" w:hAnsi="宋体" w:hint="eastAsia"/>
          <w:color w:val="000000"/>
          <w:kern w:val="0"/>
          <w:sz w:val="24"/>
        </w:rPr>
        <w:t>个工作日内、按照指定的账户路径进行资金支付，基金管理人无需再出具资金划拨指令。</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若遇法定节假日或不可抗力致使无法按时支付的，顺延至最近可支付日支付。</w:t>
      </w:r>
    </w:p>
    <w:p w:rsidR="004B7B94" w:rsidRDefault="00E10EAD">
      <w:pPr>
        <w:autoSpaceDE w:val="0"/>
        <w:autoSpaceDN w:val="0"/>
        <w:adjustRightInd w:val="0"/>
        <w:spacing w:line="360" w:lineRule="auto"/>
        <w:ind w:firstLineChars="200" w:firstLine="482"/>
        <w:rPr>
          <w:rFonts w:ascii="宋体" w:hAnsi="宋体"/>
          <w:b/>
          <w:bCs/>
          <w:color w:val="000000"/>
          <w:kern w:val="0"/>
          <w:sz w:val="24"/>
        </w:rPr>
      </w:pPr>
      <w:r>
        <w:rPr>
          <w:rFonts w:ascii="宋体" w:hAnsi="宋体" w:hint="eastAsia"/>
          <w:b/>
          <w:bCs/>
          <w:color w:val="000000"/>
          <w:kern w:val="0"/>
          <w:sz w:val="24"/>
        </w:rPr>
        <w:lastRenderedPageBreak/>
        <w:t>（六）</w:t>
      </w:r>
      <w:r>
        <w:rPr>
          <w:rFonts w:ascii="宋体" w:hAnsi="宋体"/>
          <w:b/>
          <w:bCs/>
          <w:color w:val="000000"/>
          <w:kern w:val="0"/>
          <w:sz w:val="24"/>
        </w:rPr>
        <w:t>实施</w:t>
      </w:r>
      <w:proofErr w:type="gramStart"/>
      <w:r>
        <w:rPr>
          <w:rFonts w:ascii="宋体" w:hAnsi="宋体"/>
          <w:b/>
          <w:bCs/>
          <w:color w:val="000000"/>
          <w:kern w:val="0"/>
          <w:sz w:val="24"/>
        </w:rPr>
        <w:t>侧袋机制</w:t>
      </w:r>
      <w:proofErr w:type="gramEnd"/>
      <w:r>
        <w:rPr>
          <w:rFonts w:ascii="宋体" w:hAnsi="宋体"/>
          <w:b/>
          <w:bCs/>
          <w:color w:val="000000"/>
          <w:kern w:val="0"/>
          <w:sz w:val="24"/>
        </w:rPr>
        <w:t>期间的基金费用</w:t>
      </w:r>
    </w:p>
    <w:p w:rsidR="004B7B94" w:rsidRDefault="00E10EAD">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本基金实施</w:t>
      </w:r>
      <w:proofErr w:type="gramStart"/>
      <w:r>
        <w:rPr>
          <w:rFonts w:ascii="宋体" w:hAnsi="宋体" w:hint="eastAsia"/>
          <w:color w:val="000000"/>
          <w:kern w:val="0"/>
          <w:sz w:val="24"/>
        </w:rPr>
        <w:t>侧袋机制</w:t>
      </w:r>
      <w:proofErr w:type="gramEnd"/>
      <w:r>
        <w:rPr>
          <w:rFonts w:ascii="宋体" w:hAnsi="宋体" w:hint="eastAsia"/>
          <w:color w:val="000000"/>
          <w:kern w:val="0"/>
          <w:sz w:val="24"/>
        </w:rPr>
        <w:t>的，</w:t>
      </w:r>
      <w:proofErr w:type="gramStart"/>
      <w:r>
        <w:rPr>
          <w:rFonts w:ascii="宋体" w:hAnsi="宋体" w:hint="eastAsia"/>
          <w:color w:val="000000"/>
          <w:kern w:val="0"/>
          <w:sz w:val="24"/>
        </w:rPr>
        <w:t>与侧袋账户</w:t>
      </w:r>
      <w:proofErr w:type="gramEnd"/>
      <w:r>
        <w:rPr>
          <w:rFonts w:ascii="宋体" w:hAnsi="宋体" w:hint="eastAsia"/>
          <w:color w:val="000000"/>
          <w:kern w:val="0"/>
          <w:sz w:val="24"/>
        </w:rPr>
        <w:t>有关的费用可以</w:t>
      </w:r>
      <w:proofErr w:type="gramStart"/>
      <w:r>
        <w:rPr>
          <w:rFonts w:ascii="宋体" w:hAnsi="宋体" w:hint="eastAsia"/>
          <w:color w:val="000000"/>
          <w:kern w:val="0"/>
          <w:sz w:val="24"/>
        </w:rPr>
        <w:t>从侧袋账户</w:t>
      </w:r>
      <w:proofErr w:type="gramEnd"/>
      <w:r>
        <w:rPr>
          <w:rFonts w:ascii="宋体" w:hAnsi="宋体" w:hint="eastAsia"/>
          <w:color w:val="000000"/>
          <w:kern w:val="0"/>
          <w:sz w:val="24"/>
        </w:rPr>
        <w:t>中列支，但应</w:t>
      </w:r>
      <w:proofErr w:type="gramStart"/>
      <w:r>
        <w:rPr>
          <w:rFonts w:ascii="宋体" w:hAnsi="宋体" w:hint="eastAsia"/>
          <w:color w:val="000000"/>
          <w:kern w:val="0"/>
          <w:sz w:val="24"/>
        </w:rPr>
        <w:t>待侧袋</w:t>
      </w:r>
      <w:proofErr w:type="gramEnd"/>
      <w:r>
        <w:rPr>
          <w:rFonts w:ascii="宋体" w:hAnsi="宋体" w:hint="eastAsia"/>
          <w:color w:val="000000"/>
          <w:kern w:val="0"/>
          <w:sz w:val="24"/>
        </w:rPr>
        <w:t>账户资产变现后方可列支，有关费用可酌情收取或减免，但不得收取管理费，详见招募说明书的规定。</w:t>
      </w:r>
    </w:p>
    <w:p w:rsidR="004B7B94" w:rsidRDefault="00E10EAD">
      <w:pPr>
        <w:pStyle w:val="1"/>
        <w:spacing w:before="0" w:after="0"/>
        <w:ind w:firstLineChars="200" w:firstLine="482"/>
      </w:pPr>
      <w:bookmarkStart w:id="128" w:name="_Toc291504140"/>
      <w:bookmarkStart w:id="129" w:name="_Toc59200028"/>
      <w:bookmarkStart w:id="130" w:name="_Toc8914"/>
      <w:bookmarkStart w:id="131" w:name="_Toc6425"/>
      <w:r>
        <w:rPr>
          <w:rFonts w:hint="eastAsia"/>
        </w:rPr>
        <w:t>十二、基金份额持有人名册的保管</w:t>
      </w:r>
      <w:bookmarkEnd w:id="126"/>
      <w:bookmarkEnd w:id="128"/>
      <w:bookmarkEnd w:id="129"/>
      <w:bookmarkEnd w:id="130"/>
      <w:bookmarkEnd w:id="131"/>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基金管理人可委托基金登记机构登记和保管基金份额持有人名册。基金份额持有人名册</w:t>
      </w:r>
      <w:r>
        <w:rPr>
          <w:rFonts w:ascii="宋体" w:hAnsi="宋体" w:hint="eastAsia"/>
          <w:color w:val="000000"/>
          <w:kern w:val="0"/>
          <w:sz w:val="24"/>
        </w:rPr>
        <w:t>的内容包括但不限于基金份额持有人的名称和持有的基金份额。</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基金管理人应根据基金托管人的要求定期和不定期向基金托管人提供基金份额持有人名册。</w:t>
      </w:r>
    </w:p>
    <w:p w:rsidR="004B7B94" w:rsidRDefault="00E10EAD">
      <w:pPr>
        <w:tabs>
          <w:tab w:val="left" w:pos="1260"/>
        </w:tabs>
        <w:spacing w:line="360" w:lineRule="auto"/>
        <w:ind w:firstLineChars="200" w:firstLine="482"/>
        <w:rPr>
          <w:rFonts w:ascii="宋体" w:hAnsi="宋体"/>
          <w:color w:val="000000"/>
          <w:kern w:val="0"/>
          <w:sz w:val="24"/>
        </w:rPr>
      </w:pPr>
      <w:r>
        <w:rPr>
          <w:rFonts w:ascii="宋体" w:hAnsi="宋体" w:hint="eastAsia"/>
          <w:b/>
          <w:color w:val="000000"/>
          <w:kern w:val="0"/>
          <w:sz w:val="24"/>
        </w:rPr>
        <w:t>（一）</w:t>
      </w:r>
      <w:r>
        <w:rPr>
          <w:rFonts w:ascii="宋体" w:hAnsi="宋体" w:hint="eastAsia"/>
          <w:color w:val="000000"/>
          <w:kern w:val="0"/>
          <w:sz w:val="24"/>
        </w:rPr>
        <w:t>基金管理人于《基金合同》生效日及《基金合同》终止日后</w:t>
      </w:r>
      <w:r>
        <w:rPr>
          <w:rFonts w:ascii="宋体" w:hAnsi="宋体" w:hint="eastAsia"/>
          <w:color w:val="000000"/>
          <w:kern w:val="0"/>
          <w:sz w:val="24"/>
        </w:rPr>
        <w:t>10</w:t>
      </w:r>
      <w:r>
        <w:rPr>
          <w:rFonts w:ascii="宋体" w:hAnsi="宋体" w:hint="eastAsia"/>
          <w:color w:val="000000"/>
          <w:kern w:val="0"/>
          <w:sz w:val="24"/>
        </w:rPr>
        <w:t>个工作日内向基金托管人提供由登记机构编制的</w:t>
      </w:r>
      <w:r>
        <w:rPr>
          <w:rFonts w:ascii="宋体" w:hAnsi="宋体" w:hint="eastAsia"/>
          <w:color w:val="000000"/>
          <w:kern w:val="0"/>
          <w:sz w:val="24"/>
        </w:rPr>
        <w:t>基金份额持有人名册；</w:t>
      </w:r>
    </w:p>
    <w:p w:rsidR="004B7B94" w:rsidRDefault="00E10EAD">
      <w:pPr>
        <w:tabs>
          <w:tab w:val="left" w:pos="1260"/>
        </w:tabs>
        <w:spacing w:line="360" w:lineRule="auto"/>
        <w:ind w:firstLineChars="200" w:firstLine="482"/>
        <w:rPr>
          <w:rFonts w:ascii="宋体" w:hAnsi="宋体"/>
          <w:color w:val="000000"/>
          <w:kern w:val="0"/>
          <w:sz w:val="24"/>
        </w:rPr>
      </w:pPr>
      <w:r>
        <w:rPr>
          <w:rFonts w:ascii="宋体" w:hAnsi="宋体" w:hint="eastAsia"/>
          <w:b/>
          <w:color w:val="000000"/>
          <w:kern w:val="0"/>
          <w:sz w:val="24"/>
        </w:rPr>
        <w:t>（二）</w:t>
      </w:r>
      <w:r>
        <w:rPr>
          <w:rFonts w:ascii="宋体" w:hAnsi="宋体" w:hint="eastAsia"/>
          <w:color w:val="000000"/>
          <w:kern w:val="0"/>
          <w:sz w:val="24"/>
        </w:rPr>
        <w:t>基金管理人于基金份额持有人大会权益登记日后</w:t>
      </w:r>
      <w:r>
        <w:rPr>
          <w:rFonts w:ascii="宋体" w:hAnsi="宋体" w:hint="eastAsia"/>
          <w:color w:val="000000"/>
          <w:kern w:val="0"/>
          <w:sz w:val="24"/>
        </w:rPr>
        <w:t>5</w:t>
      </w:r>
      <w:r>
        <w:rPr>
          <w:rFonts w:ascii="宋体" w:hAnsi="宋体" w:hint="eastAsia"/>
          <w:color w:val="000000"/>
          <w:kern w:val="0"/>
          <w:sz w:val="24"/>
        </w:rPr>
        <w:t>个工作日内向基金托管人提供由登记机构编制的基金份额持有人名册；</w:t>
      </w:r>
    </w:p>
    <w:p w:rsidR="004B7B94" w:rsidRDefault="00E10EAD">
      <w:pPr>
        <w:tabs>
          <w:tab w:val="left" w:pos="1260"/>
        </w:tabs>
        <w:spacing w:line="360" w:lineRule="auto"/>
        <w:ind w:firstLineChars="200" w:firstLine="482"/>
        <w:rPr>
          <w:rFonts w:ascii="宋体" w:hAnsi="宋体"/>
          <w:color w:val="000000"/>
          <w:kern w:val="0"/>
          <w:sz w:val="24"/>
        </w:rPr>
      </w:pPr>
      <w:r>
        <w:rPr>
          <w:rFonts w:ascii="宋体" w:hAnsi="宋体" w:hint="eastAsia"/>
          <w:b/>
          <w:color w:val="000000"/>
          <w:kern w:val="0"/>
          <w:sz w:val="24"/>
        </w:rPr>
        <w:t>（三）</w:t>
      </w:r>
      <w:r>
        <w:rPr>
          <w:rFonts w:ascii="宋体" w:hAnsi="宋体" w:hint="eastAsia"/>
          <w:color w:val="000000"/>
          <w:kern w:val="0"/>
          <w:sz w:val="24"/>
        </w:rPr>
        <w:t>基金管理人于每年最后一个交易日后</w:t>
      </w:r>
      <w:r>
        <w:rPr>
          <w:rFonts w:ascii="宋体" w:hAnsi="宋体" w:hint="eastAsia"/>
          <w:color w:val="000000"/>
          <w:kern w:val="0"/>
          <w:sz w:val="24"/>
        </w:rPr>
        <w:t>10</w:t>
      </w:r>
      <w:r>
        <w:rPr>
          <w:rFonts w:ascii="宋体" w:hAnsi="宋体" w:hint="eastAsia"/>
          <w:color w:val="000000"/>
          <w:kern w:val="0"/>
          <w:sz w:val="24"/>
        </w:rPr>
        <w:t>个工作日内向基金托管人提供由登记机构编制的基金份额持有人名册；</w:t>
      </w:r>
    </w:p>
    <w:p w:rsidR="004B7B94" w:rsidRDefault="00E10EAD">
      <w:pPr>
        <w:tabs>
          <w:tab w:val="left" w:pos="1260"/>
        </w:tabs>
        <w:spacing w:line="360" w:lineRule="auto"/>
        <w:ind w:firstLineChars="200" w:firstLine="482"/>
        <w:rPr>
          <w:rFonts w:ascii="宋体" w:hAnsi="宋体"/>
          <w:color w:val="000000"/>
          <w:kern w:val="0"/>
          <w:sz w:val="24"/>
        </w:rPr>
      </w:pPr>
      <w:r>
        <w:rPr>
          <w:rFonts w:ascii="宋体" w:hAnsi="宋体" w:hint="eastAsia"/>
          <w:b/>
          <w:color w:val="000000"/>
          <w:kern w:val="0"/>
          <w:sz w:val="24"/>
        </w:rPr>
        <w:t>（四）</w:t>
      </w:r>
      <w:r>
        <w:rPr>
          <w:rFonts w:ascii="宋体" w:hAnsi="宋体" w:hint="eastAsia"/>
          <w:color w:val="000000"/>
          <w:kern w:val="0"/>
          <w:sz w:val="24"/>
        </w:rPr>
        <w:t>除上述约定时间外，如果确因业务需要，基金托管人与基金管理人商议一致后，由基金管理人向基金托管人提供由登记机构编制的基金份额持有人名册。</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基金托管人以电子版形式妥善保管基金份额持有人名册，并定期刻成光盘备份，保存期限为自《基金合同》终止之日起</w:t>
      </w:r>
      <w:r>
        <w:rPr>
          <w:rFonts w:ascii="宋体" w:hAnsi="宋体" w:hint="eastAsia"/>
          <w:color w:val="000000"/>
          <w:kern w:val="0"/>
          <w:sz w:val="24"/>
        </w:rPr>
        <w:t>15</w:t>
      </w:r>
      <w:r>
        <w:rPr>
          <w:rFonts w:ascii="宋体" w:hAnsi="宋体" w:hint="eastAsia"/>
          <w:color w:val="000000"/>
          <w:kern w:val="0"/>
          <w:sz w:val="24"/>
        </w:rPr>
        <w:t>年。基金托管人不得将</w:t>
      </w:r>
      <w:r>
        <w:rPr>
          <w:rFonts w:ascii="宋体" w:hAnsi="宋体" w:hint="eastAsia"/>
          <w:color w:val="000000"/>
          <w:kern w:val="0"/>
          <w:sz w:val="24"/>
        </w:rPr>
        <w:t>所保管的基金份额持有人名册用于基金托管业务以外的其他用途，并应遵守保密义</w:t>
      </w:r>
      <w:r>
        <w:rPr>
          <w:rFonts w:ascii="宋体" w:hAnsi="宋体" w:hint="eastAsia"/>
          <w:color w:val="000000"/>
          <w:kern w:val="0"/>
          <w:sz w:val="24"/>
        </w:rPr>
        <w:lastRenderedPageBreak/>
        <w:t>务。</w:t>
      </w:r>
      <w:bookmarkStart w:id="132" w:name="_Toc125892449"/>
      <w:bookmarkStart w:id="133" w:name="_Toc523830003"/>
      <w:bookmarkStart w:id="134" w:name="_Toc22454468"/>
      <w:proofErr w:type="gramStart"/>
      <w:r>
        <w:rPr>
          <w:rFonts w:ascii="宋体" w:hAnsi="宋体" w:hint="eastAsia"/>
          <w:color w:val="000000"/>
          <w:kern w:val="0"/>
          <w:sz w:val="24"/>
        </w:rPr>
        <w:t>若基金</w:t>
      </w:r>
      <w:proofErr w:type="gramEnd"/>
      <w:r>
        <w:rPr>
          <w:rFonts w:ascii="宋体" w:hAnsi="宋体" w:hint="eastAsia"/>
          <w:color w:val="000000"/>
          <w:kern w:val="0"/>
          <w:sz w:val="24"/>
        </w:rPr>
        <w:t>管理人或基金托管人由于自身原因无法妥善保管基金份额持有人名册，应按有关法规规定各自承担相应的责任。</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法律法规或监管部门另有规定的，从其规定。</w:t>
      </w:r>
    </w:p>
    <w:p w:rsidR="004B7B94" w:rsidRDefault="00E10EAD">
      <w:pPr>
        <w:pStyle w:val="1"/>
        <w:spacing w:before="0" w:after="0"/>
        <w:ind w:firstLineChars="200" w:firstLine="482"/>
      </w:pPr>
      <w:bookmarkStart w:id="135" w:name="_Toc59200029"/>
      <w:bookmarkStart w:id="136" w:name="_Toc10945"/>
      <w:bookmarkStart w:id="137" w:name="_Toc291504141"/>
      <w:bookmarkStart w:id="138" w:name="_Toc19803"/>
      <w:r>
        <w:rPr>
          <w:rFonts w:hint="eastAsia"/>
        </w:rPr>
        <w:t>十三、基金有关文件档案的保存</w:t>
      </w:r>
      <w:bookmarkEnd w:id="120"/>
      <w:bookmarkEnd w:id="132"/>
      <w:bookmarkEnd w:id="133"/>
      <w:bookmarkEnd w:id="134"/>
      <w:bookmarkEnd w:id="135"/>
      <w:bookmarkEnd w:id="136"/>
      <w:bookmarkEnd w:id="137"/>
      <w:bookmarkEnd w:id="138"/>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基金管理人应保存基金财产管理业务活动的记录、账册、报表和其他相关资料，基金托管人应保存基金托管业务活动的记录、账册、报表和其他相关资料。</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基金管理人和基金托管人应按各自职责完整保存原始凭证、记账凭证、基金账册、会计报告、交易记录和重要合同等，保存期限自《基金合同》终止之日起不少于</w:t>
      </w:r>
      <w:r>
        <w:rPr>
          <w:rFonts w:ascii="宋体" w:hAnsi="宋体" w:hint="eastAsia"/>
          <w:color w:val="000000"/>
          <w:kern w:val="0"/>
          <w:sz w:val="24"/>
        </w:rPr>
        <w:t>15</w:t>
      </w:r>
      <w:r>
        <w:rPr>
          <w:rFonts w:ascii="宋体" w:hAnsi="宋体" w:hint="eastAsia"/>
          <w:color w:val="000000"/>
          <w:kern w:val="0"/>
          <w:sz w:val="24"/>
        </w:rPr>
        <w:t>年。法律</w:t>
      </w:r>
      <w:r>
        <w:rPr>
          <w:rFonts w:ascii="宋体" w:hAnsi="宋体"/>
          <w:color w:val="000000"/>
          <w:kern w:val="0"/>
          <w:sz w:val="24"/>
        </w:rPr>
        <w:t>法规或</w:t>
      </w:r>
      <w:r>
        <w:rPr>
          <w:rFonts w:ascii="宋体" w:hAnsi="宋体" w:hint="eastAsia"/>
          <w:color w:val="000000"/>
          <w:kern w:val="0"/>
          <w:sz w:val="24"/>
        </w:rPr>
        <w:t>监管</w:t>
      </w:r>
      <w:r>
        <w:rPr>
          <w:rFonts w:ascii="宋体" w:hAnsi="宋体"/>
          <w:color w:val="000000"/>
          <w:kern w:val="0"/>
          <w:sz w:val="24"/>
        </w:rPr>
        <w:t>部门另有规定的，从其规定。</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基金管理人签署重大合同文本后，应及时将合同文本正本送达基金托管人处。基金管理人应及时将与本基金账务处理、资金划拨等有关的合同、协议传真给基金托管人。</w:t>
      </w:r>
    </w:p>
    <w:p w:rsidR="004B7B94" w:rsidRDefault="00E10EAD">
      <w:pPr>
        <w:tabs>
          <w:tab w:val="left" w:pos="1260"/>
        </w:tabs>
        <w:spacing w:line="360" w:lineRule="auto"/>
        <w:ind w:firstLineChars="200" w:firstLine="480"/>
        <w:rPr>
          <w:rFonts w:ascii="宋体" w:hAnsi="宋体"/>
          <w:color w:val="000000"/>
          <w:kern w:val="0"/>
          <w:sz w:val="24"/>
        </w:rPr>
      </w:pPr>
      <w:r>
        <w:rPr>
          <w:rFonts w:ascii="宋体" w:hAnsi="宋体" w:hint="eastAsia"/>
          <w:color w:val="000000"/>
          <w:kern w:val="0"/>
          <w:sz w:val="24"/>
        </w:rPr>
        <w:t>基金管理人或基金托管人变更后，未变更的一方有义务协助接任人接收基金的有关文件。</w:t>
      </w:r>
      <w:bookmarkStart w:id="139" w:name="_Toc22454470"/>
      <w:bookmarkStart w:id="140" w:name="_Toc466788864"/>
      <w:bookmarkStart w:id="141" w:name="_Toc125892450"/>
      <w:bookmarkStart w:id="142" w:name="_Toc523830005"/>
    </w:p>
    <w:p w:rsidR="004B7B94" w:rsidRDefault="00E10EAD">
      <w:pPr>
        <w:pStyle w:val="1"/>
        <w:spacing w:before="0" w:after="0"/>
        <w:ind w:firstLineChars="200" w:firstLine="482"/>
      </w:pPr>
      <w:bookmarkStart w:id="143" w:name="_Toc32274"/>
      <w:bookmarkStart w:id="144" w:name="_Toc291504142"/>
      <w:bookmarkStart w:id="145" w:name="_Toc59200030"/>
      <w:bookmarkStart w:id="146" w:name="_Toc10561"/>
      <w:r>
        <w:rPr>
          <w:rFonts w:hint="eastAsia"/>
        </w:rPr>
        <w:t>十四、基金管理人和基金托管人的更换</w:t>
      </w:r>
      <w:bookmarkEnd w:id="139"/>
      <w:bookmarkEnd w:id="140"/>
      <w:bookmarkEnd w:id="141"/>
      <w:bookmarkEnd w:id="142"/>
      <w:bookmarkEnd w:id="143"/>
      <w:bookmarkEnd w:id="144"/>
      <w:bookmarkEnd w:id="145"/>
      <w:bookmarkEnd w:id="146"/>
    </w:p>
    <w:p w:rsidR="004B7B94" w:rsidRDefault="00E10EAD">
      <w:pPr>
        <w:spacing w:line="360" w:lineRule="auto"/>
        <w:ind w:firstLineChars="200" w:firstLine="480"/>
        <w:rPr>
          <w:bCs/>
          <w:sz w:val="24"/>
        </w:rPr>
      </w:pPr>
      <w:bookmarkStart w:id="147" w:name="_Toc22454471"/>
      <w:bookmarkStart w:id="148" w:name="_Toc77663031"/>
      <w:r>
        <w:rPr>
          <w:rFonts w:hint="eastAsia"/>
          <w:bCs/>
          <w:sz w:val="24"/>
        </w:rPr>
        <w:t>（</w:t>
      </w:r>
      <w:r>
        <w:rPr>
          <w:bCs/>
          <w:sz w:val="24"/>
        </w:rPr>
        <w:t>一</w:t>
      </w:r>
      <w:r>
        <w:rPr>
          <w:rFonts w:hint="eastAsia"/>
          <w:bCs/>
          <w:sz w:val="24"/>
        </w:rPr>
        <w:t>）</w:t>
      </w:r>
      <w:r>
        <w:rPr>
          <w:bCs/>
          <w:sz w:val="24"/>
        </w:rPr>
        <w:t>基金管理人和基金托管人职责终止的情形</w:t>
      </w:r>
    </w:p>
    <w:p w:rsidR="004B7B94" w:rsidRDefault="00E10EAD">
      <w:pPr>
        <w:spacing w:line="360" w:lineRule="auto"/>
        <w:ind w:firstLineChars="200" w:firstLine="480"/>
        <w:rPr>
          <w:bCs/>
          <w:sz w:val="24"/>
        </w:rPr>
      </w:pPr>
      <w:bookmarkStart w:id="149" w:name="_Toc22005971"/>
      <w:r>
        <w:rPr>
          <w:rFonts w:hint="eastAsia"/>
          <w:bCs/>
          <w:sz w:val="24"/>
        </w:rPr>
        <w:t>1</w:t>
      </w:r>
      <w:r>
        <w:rPr>
          <w:rFonts w:hint="eastAsia"/>
          <w:bCs/>
          <w:sz w:val="24"/>
        </w:rPr>
        <w:t>、</w:t>
      </w:r>
      <w:r>
        <w:rPr>
          <w:bCs/>
          <w:sz w:val="24"/>
        </w:rPr>
        <w:t>基金管理人职责终止的情形</w:t>
      </w:r>
      <w:bookmarkEnd w:id="149"/>
    </w:p>
    <w:p w:rsidR="004B7B94" w:rsidRDefault="00E10EAD">
      <w:pPr>
        <w:spacing w:line="360" w:lineRule="auto"/>
        <w:ind w:firstLineChars="200" w:firstLine="480"/>
        <w:rPr>
          <w:bCs/>
          <w:sz w:val="24"/>
        </w:rPr>
      </w:pPr>
      <w:r>
        <w:rPr>
          <w:bCs/>
          <w:sz w:val="24"/>
        </w:rPr>
        <w:t>有下列情形之一的，基金管理人职责终止：</w:t>
      </w:r>
    </w:p>
    <w:p w:rsidR="004B7B94" w:rsidRDefault="00E10EAD">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被依法取消基金管理资格；</w:t>
      </w:r>
    </w:p>
    <w:p w:rsidR="004B7B94" w:rsidRDefault="00E10EAD">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rsidR="004B7B94" w:rsidRDefault="00E10EAD">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rsidR="004B7B94" w:rsidRDefault="00E10EAD">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rsidR="004B7B94" w:rsidRDefault="00E10EAD">
      <w:pPr>
        <w:spacing w:line="360" w:lineRule="auto"/>
        <w:ind w:firstLineChars="200" w:firstLine="480"/>
        <w:rPr>
          <w:bCs/>
          <w:sz w:val="24"/>
        </w:rPr>
      </w:pPr>
      <w:bookmarkStart w:id="150" w:name="_Toc22005972"/>
      <w:r>
        <w:rPr>
          <w:rFonts w:hint="eastAsia"/>
          <w:bCs/>
          <w:sz w:val="24"/>
        </w:rPr>
        <w:lastRenderedPageBreak/>
        <w:t>2</w:t>
      </w:r>
      <w:r>
        <w:rPr>
          <w:rFonts w:hint="eastAsia"/>
          <w:bCs/>
          <w:sz w:val="24"/>
        </w:rPr>
        <w:t>、</w:t>
      </w:r>
      <w:r>
        <w:rPr>
          <w:bCs/>
          <w:sz w:val="24"/>
        </w:rPr>
        <w:t>基金托管人职责终止的情形</w:t>
      </w:r>
      <w:bookmarkEnd w:id="150"/>
    </w:p>
    <w:p w:rsidR="004B7B94" w:rsidRDefault="00E10EAD">
      <w:pPr>
        <w:spacing w:line="360" w:lineRule="auto"/>
        <w:ind w:firstLineChars="200" w:firstLine="480"/>
        <w:rPr>
          <w:bCs/>
          <w:sz w:val="24"/>
        </w:rPr>
      </w:pPr>
      <w:r>
        <w:rPr>
          <w:bCs/>
          <w:sz w:val="24"/>
        </w:rPr>
        <w:t>有下列情形之一的，基金托管人职责终止：</w:t>
      </w:r>
    </w:p>
    <w:p w:rsidR="004B7B94" w:rsidRDefault="00E10EAD">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被依法取消基金托管资格；</w:t>
      </w:r>
    </w:p>
    <w:p w:rsidR="004B7B94" w:rsidRDefault="00E10EAD">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被基金份额持有人大会解任；</w:t>
      </w:r>
    </w:p>
    <w:p w:rsidR="004B7B94" w:rsidRDefault="00E10EAD">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依法解散、被依法撤销或被依法宣告破产；</w:t>
      </w:r>
    </w:p>
    <w:p w:rsidR="004B7B94" w:rsidRDefault="00E10EAD">
      <w:pPr>
        <w:spacing w:line="360" w:lineRule="auto"/>
        <w:ind w:firstLineChars="200" w:firstLine="480"/>
        <w:rPr>
          <w:bCs/>
          <w:sz w:val="24"/>
        </w:rPr>
      </w:pPr>
      <w:r>
        <w:rPr>
          <w:rFonts w:hint="eastAsia"/>
          <w:bCs/>
          <w:sz w:val="24"/>
        </w:rPr>
        <w:t>（</w:t>
      </w:r>
      <w:r>
        <w:rPr>
          <w:bCs/>
          <w:sz w:val="24"/>
        </w:rPr>
        <w:t>4</w:t>
      </w:r>
      <w:r>
        <w:rPr>
          <w:rFonts w:hint="eastAsia"/>
          <w:bCs/>
          <w:sz w:val="24"/>
        </w:rPr>
        <w:t>）法律法规及中国证监会规定的和《基金合同》约定的其他</w:t>
      </w:r>
      <w:r>
        <w:rPr>
          <w:bCs/>
          <w:sz w:val="24"/>
        </w:rPr>
        <w:t>情形。</w:t>
      </w:r>
    </w:p>
    <w:p w:rsidR="004B7B94" w:rsidRDefault="00E10EAD">
      <w:pPr>
        <w:spacing w:line="360" w:lineRule="auto"/>
        <w:ind w:firstLineChars="200" w:firstLine="480"/>
        <w:rPr>
          <w:bCs/>
          <w:sz w:val="24"/>
        </w:rPr>
      </w:pPr>
      <w:bookmarkStart w:id="151" w:name="_Toc15118246"/>
      <w:bookmarkStart w:id="152" w:name="_Toc57530253"/>
      <w:bookmarkStart w:id="153" w:name="_Toc79392594"/>
      <w:r>
        <w:rPr>
          <w:rFonts w:hint="eastAsia"/>
          <w:bCs/>
          <w:sz w:val="24"/>
        </w:rPr>
        <w:t>（</w:t>
      </w:r>
      <w:r>
        <w:rPr>
          <w:bCs/>
          <w:sz w:val="24"/>
        </w:rPr>
        <w:t>二</w:t>
      </w:r>
      <w:r>
        <w:rPr>
          <w:rFonts w:hint="eastAsia"/>
          <w:bCs/>
          <w:sz w:val="24"/>
        </w:rPr>
        <w:t>）</w:t>
      </w:r>
      <w:r>
        <w:rPr>
          <w:bCs/>
          <w:sz w:val="24"/>
        </w:rPr>
        <w:t>基金管理人和基金托管人的更换程序</w:t>
      </w:r>
      <w:bookmarkEnd w:id="151"/>
      <w:bookmarkEnd w:id="152"/>
      <w:bookmarkEnd w:id="153"/>
    </w:p>
    <w:p w:rsidR="004B7B94" w:rsidRDefault="00E10EAD">
      <w:pPr>
        <w:spacing w:line="360" w:lineRule="auto"/>
        <w:ind w:firstLineChars="200" w:firstLine="480"/>
        <w:rPr>
          <w:bCs/>
          <w:sz w:val="24"/>
        </w:rPr>
      </w:pPr>
      <w:bookmarkStart w:id="154" w:name="_Toc22005974"/>
      <w:r>
        <w:rPr>
          <w:rFonts w:hint="eastAsia"/>
          <w:bCs/>
          <w:sz w:val="24"/>
        </w:rPr>
        <w:t>1</w:t>
      </w:r>
      <w:r>
        <w:rPr>
          <w:rFonts w:hint="eastAsia"/>
          <w:bCs/>
          <w:sz w:val="24"/>
        </w:rPr>
        <w:t>、</w:t>
      </w:r>
      <w:r>
        <w:rPr>
          <w:bCs/>
          <w:sz w:val="24"/>
        </w:rPr>
        <w:t>基金管理人的更换程序</w:t>
      </w:r>
      <w:bookmarkEnd w:id="154"/>
    </w:p>
    <w:p w:rsidR="004B7B94" w:rsidRDefault="00E10EAD">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4B7B94" w:rsidRDefault="00E10EAD">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4B7B94" w:rsidRDefault="00E10EAD">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临时基金管理人：</w:t>
      </w:r>
      <w:proofErr w:type="gramStart"/>
      <w:r>
        <w:rPr>
          <w:bCs/>
          <w:sz w:val="24"/>
        </w:rPr>
        <w:t>新任基金</w:t>
      </w:r>
      <w:proofErr w:type="gramEnd"/>
      <w:r>
        <w:rPr>
          <w:bCs/>
          <w:sz w:val="24"/>
        </w:rPr>
        <w:t>管理人产生之前，由中国证监会指定临时基金管理人；</w:t>
      </w:r>
    </w:p>
    <w:p w:rsidR="004B7B94" w:rsidRDefault="00E10EAD">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4B7B94" w:rsidRDefault="00E10EAD">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公告：基金</w:t>
      </w:r>
      <w:r>
        <w:rPr>
          <w:bCs/>
          <w:sz w:val="24"/>
        </w:rPr>
        <w:t>管理人更换后，由基金托管人在</w:t>
      </w:r>
      <w:r>
        <w:rPr>
          <w:rFonts w:hint="eastAsia"/>
          <w:bCs/>
          <w:sz w:val="24"/>
        </w:rPr>
        <w:t>更换基金管理人的基金份额持有人大会决议生效</w:t>
      </w:r>
      <w:r>
        <w:rPr>
          <w:bCs/>
          <w:sz w:val="24"/>
        </w:rPr>
        <w:t>后</w:t>
      </w:r>
      <w:r>
        <w:rPr>
          <w:rFonts w:ascii="宋体" w:hAnsi="宋体" w:hint="eastAsia"/>
          <w:sz w:val="24"/>
          <w:szCs w:val="21"/>
        </w:rPr>
        <w:t>按规定</w:t>
      </w:r>
      <w:r>
        <w:rPr>
          <w:bCs/>
          <w:sz w:val="24"/>
        </w:rPr>
        <w:t>在</w:t>
      </w:r>
      <w:r>
        <w:rPr>
          <w:rFonts w:hint="eastAsia"/>
          <w:bCs/>
          <w:sz w:val="24"/>
        </w:rPr>
        <w:t>指定媒介</w:t>
      </w:r>
      <w:r>
        <w:rPr>
          <w:bCs/>
          <w:sz w:val="24"/>
        </w:rPr>
        <w:t>公告</w:t>
      </w:r>
      <w:r>
        <w:rPr>
          <w:rFonts w:hint="eastAsia"/>
          <w:bCs/>
          <w:sz w:val="24"/>
        </w:rPr>
        <w:t>；</w:t>
      </w:r>
    </w:p>
    <w:p w:rsidR="004B7B94" w:rsidRDefault="00E10EAD">
      <w:pPr>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p>
    <w:p w:rsidR="004B7B94" w:rsidRDefault="00E10EAD">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4B7B94" w:rsidRDefault="00E10EAD">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基金名</w:t>
      </w:r>
      <w:r>
        <w:rPr>
          <w:bCs/>
          <w:sz w:val="24"/>
        </w:rPr>
        <w:t>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4B7B94" w:rsidRDefault="00E10EAD">
      <w:pPr>
        <w:spacing w:line="360" w:lineRule="auto"/>
        <w:ind w:firstLineChars="200" w:firstLine="480"/>
        <w:rPr>
          <w:bCs/>
          <w:sz w:val="24"/>
        </w:rPr>
      </w:pPr>
      <w:bookmarkStart w:id="155" w:name="_Toc22005975"/>
      <w:r>
        <w:rPr>
          <w:rFonts w:hint="eastAsia"/>
          <w:bCs/>
          <w:sz w:val="24"/>
        </w:rPr>
        <w:t>2</w:t>
      </w:r>
      <w:r>
        <w:rPr>
          <w:rFonts w:hint="eastAsia"/>
          <w:bCs/>
          <w:sz w:val="24"/>
        </w:rPr>
        <w:t>、</w:t>
      </w:r>
      <w:r>
        <w:rPr>
          <w:bCs/>
          <w:sz w:val="24"/>
        </w:rPr>
        <w:t>基金托管人的更换程序</w:t>
      </w:r>
      <w:bookmarkEnd w:id="155"/>
    </w:p>
    <w:p w:rsidR="004B7B94" w:rsidRDefault="00E10EAD">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4B7B94" w:rsidRDefault="00E10EAD">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rsidR="004B7B94" w:rsidRDefault="00E10EAD">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临时基金托管人：</w:t>
      </w:r>
      <w:proofErr w:type="gramStart"/>
      <w:r>
        <w:rPr>
          <w:bCs/>
          <w:sz w:val="24"/>
        </w:rPr>
        <w:t>新任基金</w:t>
      </w:r>
      <w:proofErr w:type="gramEnd"/>
      <w:r>
        <w:rPr>
          <w:bCs/>
          <w:sz w:val="24"/>
        </w:rPr>
        <w:t>托管人产生之前，由中国证监会指定临时基金托管人；</w:t>
      </w:r>
    </w:p>
    <w:p w:rsidR="004B7B94" w:rsidRDefault="00E10EAD">
      <w:pPr>
        <w:spacing w:line="360" w:lineRule="auto"/>
        <w:ind w:firstLineChars="200" w:firstLine="480"/>
        <w:rPr>
          <w:bCs/>
          <w:sz w:val="24"/>
        </w:rPr>
      </w:pPr>
      <w:r>
        <w:rPr>
          <w:rFonts w:hint="eastAsia"/>
          <w:bCs/>
          <w:sz w:val="24"/>
        </w:rPr>
        <w:t>（</w:t>
      </w:r>
      <w:r>
        <w:rPr>
          <w:bCs/>
          <w:sz w:val="24"/>
        </w:rPr>
        <w:t>4</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4B7B94" w:rsidRDefault="00E10EAD">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公告：基金托管人更换后，由基金管理人在</w:t>
      </w:r>
      <w:r>
        <w:rPr>
          <w:rFonts w:hint="eastAsia"/>
          <w:bCs/>
          <w:sz w:val="24"/>
        </w:rPr>
        <w:t>更换基金托管人的基金份额持有人大会决议生效</w:t>
      </w:r>
      <w:r>
        <w:rPr>
          <w:bCs/>
          <w:sz w:val="24"/>
        </w:rPr>
        <w:t>后</w:t>
      </w:r>
      <w:r>
        <w:rPr>
          <w:rFonts w:ascii="宋体" w:hAnsi="宋体" w:hint="eastAsia"/>
          <w:sz w:val="24"/>
          <w:szCs w:val="21"/>
        </w:rPr>
        <w:t>按规定</w:t>
      </w:r>
      <w:r>
        <w:rPr>
          <w:bCs/>
          <w:sz w:val="24"/>
        </w:rPr>
        <w:t>在</w:t>
      </w:r>
      <w:r>
        <w:rPr>
          <w:rFonts w:hint="eastAsia"/>
          <w:bCs/>
          <w:sz w:val="24"/>
        </w:rPr>
        <w:t>指定媒介</w:t>
      </w:r>
      <w:r>
        <w:rPr>
          <w:bCs/>
          <w:sz w:val="24"/>
        </w:rPr>
        <w:t>公告</w:t>
      </w:r>
      <w:r>
        <w:rPr>
          <w:rFonts w:hint="eastAsia"/>
          <w:bCs/>
          <w:sz w:val="24"/>
        </w:rPr>
        <w:t>；</w:t>
      </w:r>
    </w:p>
    <w:p w:rsidR="004B7B94" w:rsidRDefault="00E10EAD">
      <w:pPr>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p>
    <w:p w:rsidR="004B7B94" w:rsidRDefault="00E10EAD">
      <w:pPr>
        <w:spacing w:line="360" w:lineRule="auto"/>
        <w:ind w:firstLineChars="200" w:firstLine="480"/>
        <w:rPr>
          <w:bCs/>
          <w:sz w:val="24"/>
        </w:rPr>
      </w:pPr>
      <w:r>
        <w:rPr>
          <w:rFonts w:hint="eastAsia"/>
          <w:bCs/>
          <w:sz w:val="24"/>
        </w:rPr>
        <w:t>（</w:t>
      </w:r>
      <w:r>
        <w:rPr>
          <w:bCs/>
          <w:sz w:val="24"/>
        </w:rPr>
        <w:t>7</w:t>
      </w:r>
      <w:r>
        <w:rPr>
          <w:rFonts w:hint="eastAsia"/>
          <w:bCs/>
          <w:sz w:val="24"/>
        </w:rPr>
        <w:t>）</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4B7B94" w:rsidRDefault="00E10EAD">
      <w:pPr>
        <w:spacing w:line="360" w:lineRule="auto"/>
        <w:ind w:firstLineChars="200" w:firstLine="480"/>
        <w:rPr>
          <w:bCs/>
          <w:sz w:val="24"/>
        </w:rPr>
      </w:pPr>
      <w:bookmarkStart w:id="156" w:name="_Toc1357"/>
      <w:r>
        <w:rPr>
          <w:rFonts w:hint="eastAsia"/>
          <w:bCs/>
          <w:sz w:val="24"/>
        </w:rPr>
        <w:lastRenderedPageBreak/>
        <w:t>3</w:t>
      </w:r>
      <w:r>
        <w:rPr>
          <w:rFonts w:hint="eastAsia"/>
          <w:bCs/>
          <w:sz w:val="24"/>
        </w:rPr>
        <w:t>、</w:t>
      </w:r>
      <w:r>
        <w:rPr>
          <w:bCs/>
          <w:sz w:val="24"/>
        </w:rPr>
        <w:t>基金管理人与基金托管人同时更换的条件和程序。</w:t>
      </w:r>
      <w:bookmarkEnd w:id="156"/>
    </w:p>
    <w:p w:rsidR="004B7B94" w:rsidRDefault="00E10EAD">
      <w:pPr>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4B7B94" w:rsidRDefault="00E10EAD">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基金管理人和基金托管人的更换分别按上述程序进行；</w:t>
      </w:r>
    </w:p>
    <w:p w:rsidR="004B7B94" w:rsidRDefault="00E10EAD">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ascii="宋体" w:hAnsi="宋体" w:hint="eastAsia"/>
          <w:sz w:val="24"/>
          <w:szCs w:val="21"/>
        </w:rPr>
        <w:t>按</w:t>
      </w:r>
      <w:r>
        <w:rPr>
          <w:rFonts w:ascii="宋体" w:hAnsi="宋体" w:hint="eastAsia"/>
          <w:sz w:val="24"/>
          <w:szCs w:val="21"/>
        </w:rPr>
        <w:t>规定</w:t>
      </w:r>
      <w:r>
        <w:rPr>
          <w:bCs/>
          <w:sz w:val="24"/>
        </w:rPr>
        <w:t>在指定媒介上联合公告。</w:t>
      </w:r>
    </w:p>
    <w:p w:rsidR="004B7B94" w:rsidRDefault="00E10EAD">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新基金管理人或临时基金管理人接收基金管理业务，或新基金托管人或临时基金托管人接收基金财产和基金托管业务前，</w:t>
      </w:r>
      <w:proofErr w:type="gramStart"/>
      <w:r>
        <w:rPr>
          <w:bCs/>
          <w:sz w:val="24"/>
        </w:rPr>
        <w:t>原基金</w:t>
      </w:r>
      <w:proofErr w:type="gramEnd"/>
      <w:r>
        <w:rPr>
          <w:bCs/>
          <w:sz w:val="24"/>
        </w:rPr>
        <w:t>管理人或</w:t>
      </w:r>
      <w:proofErr w:type="gramStart"/>
      <w:r>
        <w:rPr>
          <w:bCs/>
          <w:sz w:val="24"/>
        </w:rPr>
        <w:t>原基金</w:t>
      </w:r>
      <w:proofErr w:type="gramEnd"/>
      <w:r>
        <w:rPr>
          <w:bCs/>
          <w:sz w:val="24"/>
        </w:rPr>
        <w:t>托管人应继续履行相关职责，并保证不做出对基金份额持有人的利益造成损害的行为。</w:t>
      </w:r>
      <w:proofErr w:type="gramStart"/>
      <w:r>
        <w:rPr>
          <w:bCs/>
          <w:sz w:val="24"/>
        </w:rPr>
        <w:t>原基金</w:t>
      </w:r>
      <w:proofErr w:type="gramEnd"/>
      <w:r>
        <w:rPr>
          <w:bCs/>
          <w:sz w:val="24"/>
        </w:rPr>
        <w:t>管理人或基金托管人在继续履行相关职责期间，仍有权按照</w:t>
      </w:r>
      <w:r>
        <w:rPr>
          <w:rFonts w:hint="eastAsia"/>
          <w:bCs/>
          <w:sz w:val="24"/>
        </w:rPr>
        <w:t>基金</w:t>
      </w:r>
      <w:r>
        <w:rPr>
          <w:bCs/>
          <w:sz w:val="24"/>
        </w:rPr>
        <w:t>合同的规定收取基金管理费或基金托管费。</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kern w:val="0"/>
          <w:sz w:val="24"/>
        </w:rPr>
      </w:pPr>
      <w:r>
        <w:rPr>
          <w:rFonts w:hint="eastAsia"/>
          <w:bCs/>
          <w:sz w:val="24"/>
        </w:rPr>
        <w:t>（</w:t>
      </w:r>
      <w:r>
        <w:rPr>
          <w:bCs/>
          <w:sz w:val="24"/>
        </w:rPr>
        <w:t>四</w:t>
      </w:r>
      <w:r>
        <w:rPr>
          <w:rFonts w:hint="eastAsia"/>
          <w:bCs/>
          <w:sz w:val="24"/>
        </w:rPr>
        <w:t>）</w:t>
      </w:r>
      <w:r>
        <w:rPr>
          <w:bCs/>
          <w:sz w:val="24"/>
        </w:rPr>
        <w:t>本部</w:t>
      </w:r>
      <w:proofErr w:type="gramStart"/>
      <w:r>
        <w:rPr>
          <w:bCs/>
          <w:sz w:val="24"/>
        </w:rPr>
        <w:t>分关于</w:t>
      </w:r>
      <w:proofErr w:type="gramEnd"/>
      <w:r>
        <w:rPr>
          <w:bCs/>
          <w:sz w:val="24"/>
        </w:rPr>
        <w:t>基金管理人、基金托管人更换条件和程序的约定，凡是直接引用法律法规或监管规则的部分，如将来法律法规或监管规则修改导致相关内容被取消或变更的，基金管理人与基金托管</w:t>
      </w:r>
      <w:r>
        <w:rPr>
          <w:bCs/>
          <w:sz w:val="24"/>
        </w:rPr>
        <w:t>人协商一致并提前公告后，可直接对相应内容进行修改和调整，无需召开基金份额持有人大会审议。</w:t>
      </w:r>
      <w:bookmarkEnd w:id="147"/>
      <w:bookmarkEnd w:id="148"/>
    </w:p>
    <w:p w:rsidR="004B7B94" w:rsidRDefault="00E10EAD">
      <w:pPr>
        <w:pStyle w:val="1"/>
        <w:spacing w:before="0" w:after="0"/>
        <w:ind w:firstLineChars="200" w:firstLine="482"/>
      </w:pPr>
      <w:bookmarkStart w:id="157" w:name="_Toc523830007"/>
      <w:bookmarkStart w:id="158" w:name="_Toc22454478"/>
      <w:bookmarkStart w:id="159" w:name="_Toc466788866"/>
      <w:bookmarkStart w:id="160" w:name="_Toc2353"/>
      <w:bookmarkStart w:id="161" w:name="_Toc291504143"/>
      <w:bookmarkStart w:id="162" w:name="_Toc125892451"/>
      <w:bookmarkStart w:id="163" w:name="_Toc59200031"/>
      <w:bookmarkStart w:id="164" w:name="_Toc9402"/>
      <w:r>
        <w:rPr>
          <w:rFonts w:hint="eastAsia"/>
        </w:rPr>
        <w:t>十五、禁止行为</w:t>
      </w:r>
      <w:bookmarkEnd w:id="157"/>
      <w:bookmarkEnd w:id="158"/>
      <w:bookmarkEnd w:id="159"/>
      <w:bookmarkEnd w:id="160"/>
      <w:bookmarkEnd w:id="161"/>
      <w:bookmarkEnd w:id="162"/>
      <w:bookmarkEnd w:id="163"/>
      <w:bookmarkEnd w:id="164"/>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本协议项下的基金管理人和基金托管人禁止行为如下：</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（一）</w:t>
      </w:r>
      <w:r>
        <w:rPr>
          <w:rFonts w:ascii="宋体" w:hAnsi="宋体" w:hint="eastAsia"/>
          <w:bCs/>
          <w:color w:val="000000"/>
          <w:sz w:val="24"/>
        </w:rPr>
        <w:t>《基金法》第二十一条、</w:t>
      </w:r>
      <w:r>
        <w:rPr>
          <w:rFonts w:ascii="宋体" w:hAnsi="宋体"/>
          <w:bCs/>
          <w:color w:val="000000"/>
          <w:sz w:val="24"/>
        </w:rPr>
        <w:t>三十九条</w:t>
      </w:r>
      <w:r>
        <w:rPr>
          <w:rFonts w:ascii="宋体" w:hAnsi="宋体" w:hint="eastAsia"/>
          <w:bCs/>
          <w:color w:val="000000"/>
          <w:sz w:val="24"/>
        </w:rPr>
        <w:t>禁止的行为；</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w:t>
      </w:r>
      <w:r>
        <w:rPr>
          <w:rFonts w:ascii="宋体" w:hAnsi="宋体" w:hint="eastAsia"/>
          <w:bCs/>
          <w:color w:val="000000"/>
          <w:sz w:val="24"/>
        </w:rPr>
        <w:t>除非法律、法规及中国证监会另有规定，托管协议当事人用基金财产从事《基金法》第七十四条禁止的投资或活动；</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（三）</w:t>
      </w:r>
      <w:r>
        <w:rPr>
          <w:rFonts w:ascii="宋体" w:hAnsi="宋体" w:hint="eastAsia"/>
          <w:bCs/>
          <w:color w:val="000000"/>
          <w:sz w:val="24"/>
        </w:rPr>
        <w:t>除《基金法》及其他有关法规、《基金合同》及中国证监会另有规定，基金管理人、基金托管人及其董事、监事、高级管理人员和其他从业人员利用基金财产为自身和任何第三人谋取利益；</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lastRenderedPageBreak/>
        <w:t>（四）</w:t>
      </w:r>
      <w:r>
        <w:rPr>
          <w:rFonts w:ascii="宋体" w:hAnsi="宋体" w:hint="eastAsia"/>
          <w:bCs/>
          <w:color w:val="000000"/>
          <w:sz w:val="24"/>
        </w:rPr>
        <w:t>基金管理人与基金托管人对基金运作过程中任何尚未按有关法规规定的方式公开披露的信息，对他人泄露；</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Cs/>
          <w:color w:val="000000"/>
          <w:sz w:val="24"/>
        </w:rPr>
      </w:pPr>
      <w:r>
        <w:rPr>
          <w:rFonts w:ascii="宋体" w:hAnsi="宋体" w:hint="eastAsia"/>
          <w:b/>
          <w:bCs/>
          <w:color w:val="000000"/>
          <w:sz w:val="24"/>
        </w:rPr>
        <w:t>（五）</w:t>
      </w:r>
      <w:r>
        <w:rPr>
          <w:rFonts w:ascii="宋体" w:hAnsi="宋体" w:hint="eastAsia"/>
          <w:bCs/>
          <w:color w:val="000000"/>
          <w:sz w:val="24"/>
        </w:rPr>
        <w:t>基金管理人在资金头寸不足的情况下，向基金托管人发送划款指令；</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Cs/>
          <w:color w:val="000000"/>
          <w:sz w:val="24"/>
        </w:rPr>
      </w:pPr>
      <w:r>
        <w:rPr>
          <w:rFonts w:ascii="宋体" w:hAnsi="宋体" w:hint="eastAsia"/>
          <w:b/>
          <w:bCs/>
          <w:color w:val="000000"/>
          <w:sz w:val="24"/>
        </w:rPr>
        <w:t>（六）</w:t>
      </w:r>
      <w:r>
        <w:rPr>
          <w:rFonts w:ascii="宋体" w:hAnsi="宋体" w:hint="eastAsia"/>
          <w:bCs/>
          <w:color w:val="000000"/>
          <w:sz w:val="24"/>
        </w:rPr>
        <w:t>在资金头寸充足且为基金托管人执行指令留出足够时间的情况下，基金托管人对基金管理人符合法律、法规、《基金合同》、本协议的指令拖延或拒绝执行；</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Cs/>
          <w:color w:val="000000"/>
          <w:sz w:val="24"/>
        </w:rPr>
      </w:pPr>
      <w:r>
        <w:rPr>
          <w:rFonts w:ascii="宋体" w:hAnsi="宋体" w:hint="eastAsia"/>
          <w:b/>
          <w:bCs/>
          <w:color w:val="000000"/>
          <w:sz w:val="24"/>
        </w:rPr>
        <w:t>（七）</w:t>
      </w:r>
      <w:r>
        <w:rPr>
          <w:rFonts w:ascii="宋体" w:hAnsi="宋体" w:hint="eastAsia"/>
          <w:bCs/>
          <w:color w:val="000000"/>
          <w:sz w:val="24"/>
        </w:rPr>
        <w:t>除根据基金管理人指令或《基金合同》另有规定的，基金托管人动用或处分基金财产；</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Cs/>
          <w:color w:val="000000"/>
          <w:sz w:val="24"/>
        </w:rPr>
      </w:pPr>
      <w:r>
        <w:rPr>
          <w:rFonts w:ascii="宋体" w:hAnsi="宋体" w:hint="eastAsia"/>
          <w:b/>
          <w:bCs/>
          <w:color w:val="000000"/>
          <w:sz w:val="24"/>
        </w:rPr>
        <w:t>（八）</w:t>
      </w:r>
      <w:r>
        <w:rPr>
          <w:rFonts w:ascii="宋体" w:hAnsi="宋体"/>
          <w:bCs/>
          <w:color w:val="000000"/>
          <w:sz w:val="24"/>
        </w:rPr>
        <w:t>基金管理人与基金托管人为同一</w:t>
      </w:r>
      <w:r>
        <w:rPr>
          <w:rFonts w:ascii="宋体" w:hAnsi="宋体" w:hint="eastAsia"/>
          <w:bCs/>
          <w:color w:val="000000"/>
          <w:sz w:val="24"/>
        </w:rPr>
        <w:t>机构</w:t>
      </w:r>
      <w:r>
        <w:rPr>
          <w:rFonts w:ascii="宋体" w:hAnsi="宋体"/>
          <w:bCs/>
          <w:color w:val="000000"/>
          <w:sz w:val="24"/>
        </w:rPr>
        <w:t>，</w:t>
      </w:r>
      <w:r>
        <w:rPr>
          <w:rFonts w:ascii="宋体" w:hAnsi="宋体" w:hint="eastAsia"/>
          <w:bCs/>
          <w:color w:val="000000"/>
          <w:sz w:val="24"/>
        </w:rPr>
        <w:t>或</w:t>
      </w:r>
      <w:r>
        <w:rPr>
          <w:rFonts w:ascii="宋体" w:hAnsi="宋体"/>
          <w:bCs/>
          <w:color w:val="000000"/>
          <w:sz w:val="24"/>
        </w:rPr>
        <w:t>相互出资或者持有股份。</w:t>
      </w:r>
      <w:r>
        <w:rPr>
          <w:rFonts w:ascii="宋体" w:hAnsi="宋体" w:hint="eastAsia"/>
          <w:bCs/>
          <w:color w:val="000000"/>
          <w:sz w:val="24"/>
        </w:rPr>
        <w:t>基金托管人、基金管理人在行政上、财务上没有互相独立，其</w:t>
      </w:r>
      <w:r>
        <w:rPr>
          <w:rFonts w:ascii="宋体" w:hAnsi="宋体" w:hint="eastAsia"/>
          <w:bCs/>
          <w:color w:val="000000"/>
          <w:sz w:val="24"/>
        </w:rPr>
        <w:t>高级管理人员或其他从业人员相互兼职；</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Cs/>
          <w:color w:val="000000"/>
          <w:sz w:val="24"/>
        </w:rPr>
      </w:pPr>
      <w:r>
        <w:rPr>
          <w:rFonts w:ascii="宋体" w:hAnsi="宋体" w:hint="eastAsia"/>
          <w:b/>
          <w:bCs/>
          <w:color w:val="000000"/>
          <w:sz w:val="24"/>
        </w:rPr>
        <w:t>（九）</w:t>
      </w:r>
      <w:r>
        <w:rPr>
          <w:rFonts w:ascii="宋体" w:hAnsi="宋体" w:hint="eastAsia"/>
          <w:bCs/>
          <w:color w:val="000000"/>
          <w:sz w:val="24"/>
        </w:rPr>
        <w:t>《基金合同》投资限制中禁止投资的行为；</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Cs/>
          <w:color w:val="000000"/>
          <w:sz w:val="24"/>
        </w:rPr>
      </w:pPr>
      <w:r>
        <w:rPr>
          <w:rFonts w:ascii="宋体" w:hAnsi="宋体" w:hint="eastAsia"/>
          <w:b/>
          <w:bCs/>
          <w:color w:val="000000"/>
          <w:sz w:val="24"/>
        </w:rPr>
        <w:t>（十）</w:t>
      </w:r>
      <w:r>
        <w:rPr>
          <w:rFonts w:ascii="宋体" w:hAnsi="宋体" w:hint="eastAsia"/>
          <w:bCs/>
          <w:color w:val="000000"/>
          <w:sz w:val="24"/>
        </w:rPr>
        <w:t>法律、法规、《基金合同》和本协议禁止的其他行为。</w:t>
      </w:r>
    </w:p>
    <w:p w:rsidR="004B7B94" w:rsidRDefault="00E10EAD">
      <w:pPr>
        <w:tabs>
          <w:tab w:val="left" w:pos="3780"/>
        </w:tabs>
        <w:autoSpaceDE w:val="0"/>
        <w:autoSpaceDN w:val="0"/>
        <w:spacing w:line="360" w:lineRule="auto"/>
        <w:ind w:firstLineChars="200" w:firstLine="480"/>
        <w:textAlignment w:val="bottom"/>
        <w:outlineLvl w:val="0"/>
        <w:rPr>
          <w:rFonts w:ascii="宋体" w:hAnsi="宋体"/>
          <w:bCs/>
          <w:color w:val="000000"/>
          <w:sz w:val="24"/>
        </w:rPr>
      </w:pPr>
      <w:r>
        <w:rPr>
          <w:rFonts w:ascii="宋体" w:hAnsi="宋体" w:hint="eastAsia"/>
          <w:bCs/>
          <w:color w:val="000000"/>
          <w:sz w:val="24"/>
        </w:rPr>
        <w:t>法律法规或监管部门调整上述限制的，本基金投资按照调整后的规定执行。法律、法规和监管部门取消上述禁止性规定的，则本基金不受上述相关限制。</w:t>
      </w:r>
    </w:p>
    <w:p w:rsidR="004B7B94" w:rsidRDefault="00E10EAD">
      <w:pPr>
        <w:pStyle w:val="1"/>
        <w:spacing w:before="0" w:after="0"/>
        <w:ind w:firstLineChars="200" w:firstLine="482"/>
      </w:pPr>
      <w:bookmarkStart w:id="165" w:name="_Toc17738"/>
      <w:bookmarkStart w:id="166" w:name="_Toc291504144"/>
      <w:bookmarkStart w:id="167" w:name="_Toc22847"/>
      <w:bookmarkStart w:id="168" w:name="_Toc59200032"/>
      <w:bookmarkStart w:id="169" w:name="_Toc125892452"/>
      <w:bookmarkStart w:id="170" w:name="_Toc523830008"/>
      <w:bookmarkStart w:id="171" w:name="_Toc22454479"/>
      <w:bookmarkStart w:id="172" w:name="_Toc466788867"/>
      <w:r>
        <w:rPr>
          <w:rFonts w:hint="eastAsia"/>
        </w:rPr>
        <w:t>十六、基金托管协议的变更、终止与基金财产的清算</w:t>
      </w:r>
      <w:bookmarkEnd w:id="165"/>
      <w:bookmarkEnd w:id="166"/>
      <w:bookmarkEnd w:id="167"/>
      <w:bookmarkEnd w:id="168"/>
      <w:bookmarkEnd w:id="169"/>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bookmarkStart w:id="173" w:name="_Toc510842757"/>
      <w:r>
        <w:rPr>
          <w:rFonts w:ascii="宋体" w:hAnsi="宋体" w:hint="eastAsia"/>
          <w:b/>
          <w:bCs/>
          <w:color w:val="000000"/>
          <w:sz w:val="24"/>
        </w:rPr>
        <w:t>（一）基金托管协议的变更</w:t>
      </w:r>
    </w:p>
    <w:bookmarkEnd w:id="173"/>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本协议双方当事人经协商一致，可以对协议进行修改。修改后的新协议，其内容不得与《基金合同》的规定有任何冲突，并报中国证监会备案。</w:t>
      </w:r>
    </w:p>
    <w:p w:rsidR="004B7B94" w:rsidRDefault="00E10EAD">
      <w:pPr>
        <w:tabs>
          <w:tab w:val="left" w:pos="3780"/>
        </w:tabs>
        <w:autoSpaceDE w:val="0"/>
        <w:autoSpaceDN w:val="0"/>
        <w:spacing w:line="360" w:lineRule="auto"/>
        <w:ind w:firstLineChars="200" w:firstLine="482"/>
        <w:textAlignment w:val="bottom"/>
        <w:outlineLvl w:val="0"/>
        <w:rPr>
          <w:rFonts w:ascii="宋体" w:hAnsi="宋体"/>
          <w:b/>
          <w:bCs/>
          <w:color w:val="000000"/>
          <w:sz w:val="24"/>
        </w:rPr>
      </w:pPr>
      <w:r>
        <w:rPr>
          <w:rFonts w:ascii="宋体" w:hAnsi="宋体" w:hint="eastAsia"/>
          <w:b/>
          <w:bCs/>
          <w:color w:val="000000"/>
          <w:sz w:val="24"/>
        </w:rPr>
        <w:t>（二）基金托管协议的终止</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、《基金合同》终止；</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、基金托管人解散、依法被撤销、破产，被依法取消基金托管资格或因其他事由造成其他基金托管人接管基金财产；</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3</w:t>
      </w:r>
      <w:r>
        <w:rPr>
          <w:rFonts w:ascii="宋体" w:hAnsi="宋体" w:hint="eastAsia"/>
          <w:color w:val="000000"/>
          <w:kern w:val="0"/>
          <w:sz w:val="24"/>
        </w:rPr>
        <w:t>、基金管理人解散、依法被撤销、破产，被依法取消基金管理资格或因其他事由造成其他基金管理人接管基金管理权；</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、发生《基金法》、《销售办法》、《运作办法》或其他法律、法规规定的终止事项。</w:t>
      </w:r>
    </w:p>
    <w:p w:rsidR="004B7B94" w:rsidRDefault="00E10EAD">
      <w:pPr>
        <w:spacing w:line="360" w:lineRule="auto"/>
        <w:ind w:firstLineChars="200" w:firstLine="482"/>
        <w:rPr>
          <w:b/>
          <w:color w:val="000000"/>
          <w:sz w:val="24"/>
        </w:rPr>
      </w:pPr>
      <w:r>
        <w:rPr>
          <w:rFonts w:hint="eastAsia"/>
          <w:b/>
          <w:color w:val="000000"/>
          <w:sz w:val="24"/>
        </w:rPr>
        <w:t>（三）基金财产的清算</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、基金财产清算小组：自出现《基金合同》终止事由之日起</w:t>
      </w:r>
      <w:r>
        <w:rPr>
          <w:rFonts w:ascii="宋体" w:hAnsi="宋体" w:hint="eastAsia"/>
          <w:color w:val="000000"/>
          <w:kern w:val="0"/>
          <w:sz w:val="24"/>
        </w:rPr>
        <w:t>30</w:t>
      </w:r>
      <w:r>
        <w:rPr>
          <w:rFonts w:ascii="宋体" w:hAnsi="宋体" w:hint="eastAsia"/>
          <w:color w:val="000000"/>
          <w:kern w:val="0"/>
          <w:sz w:val="24"/>
        </w:rPr>
        <w:t>个工作日内成立清算小组，基金管理人组织基金财产清算小组并在中国证监会的监督下进行基金清算。</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、基金财产清算小组组成：基金财产清算小组成员由基金管理人、基金托管人、具有证券</w:t>
      </w:r>
      <w:r>
        <w:rPr>
          <w:rFonts w:ascii="宋体" w:hAnsi="宋体" w:hint="eastAsia"/>
          <w:sz w:val="24"/>
          <w:szCs w:val="21"/>
        </w:rPr>
        <w:t>、期货</w:t>
      </w:r>
      <w:r>
        <w:rPr>
          <w:rFonts w:ascii="宋体" w:hAnsi="宋体" w:hint="eastAsia"/>
          <w:color w:val="000000"/>
          <w:kern w:val="0"/>
          <w:sz w:val="24"/>
        </w:rPr>
        <w:t>相关业务资格的注册会计师、律师以及中国证监会指定的人员组成。基金财产清算小组可以聘用必要的工作人员。</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、基金财产清算小组职责：基金财产清算小组负责基金财产的保管、清理、估价、变现和分配。基金财产清算小组可以依法进行必要的民事活动。</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、基金财产清算程序：</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）《基金合同》终止情形出现时，由基金财产清算小组统一接管基金；</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2</w:t>
      </w:r>
      <w:r>
        <w:rPr>
          <w:rFonts w:ascii="宋体" w:hAnsi="宋体" w:hint="eastAsia"/>
          <w:color w:val="000000"/>
          <w:kern w:val="0"/>
          <w:sz w:val="24"/>
        </w:rPr>
        <w:t>）对基金财产和债权债务进行清理和确认；</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）对基金财产进行估值和变现；</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）制作清算报告；</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5</w:t>
      </w:r>
      <w:r>
        <w:rPr>
          <w:rFonts w:ascii="宋体" w:hAnsi="宋体" w:hint="eastAsia"/>
          <w:color w:val="000000"/>
          <w:kern w:val="0"/>
          <w:sz w:val="24"/>
        </w:rPr>
        <w:t>）聘请会计师事务所对清算报告进行外部审计，聘请律师事务所对清算报告出具法律意见书；</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6</w:t>
      </w:r>
      <w:r>
        <w:rPr>
          <w:rFonts w:ascii="宋体" w:hAnsi="宋体" w:hint="eastAsia"/>
          <w:color w:val="000000"/>
          <w:kern w:val="0"/>
          <w:sz w:val="24"/>
        </w:rPr>
        <w:t>）将清算报告报中国证监会备案并公告；</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7</w:t>
      </w:r>
      <w:r>
        <w:rPr>
          <w:rFonts w:ascii="宋体" w:hAnsi="宋体" w:hint="eastAsia"/>
          <w:color w:val="000000"/>
          <w:kern w:val="0"/>
          <w:sz w:val="24"/>
        </w:rPr>
        <w:t>）对基金剩余财产进行分配。</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5</w:t>
      </w:r>
      <w:r>
        <w:rPr>
          <w:rFonts w:ascii="宋体" w:hAnsi="宋体" w:hint="eastAsia"/>
          <w:color w:val="000000"/>
          <w:kern w:val="0"/>
          <w:sz w:val="24"/>
        </w:rPr>
        <w:t>、基金财产清算的期限为</w:t>
      </w:r>
      <w:r>
        <w:rPr>
          <w:rFonts w:ascii="宋体" w:hAnsi="宋体" w:hint="eastAsia"/>
          <w:color w:val="000000"/>
          <w:kern w:val="0"/>
          <w:sz w:val="24"/>
        </w:rPr>
        <w:t>6</w:t>
      </w:r>
      <w:r>
        <w:rPr>
          <w:rFonts w:ascii="宋体" w:hAnsi="宋体" w:hint="eastAsia"/>
          <w:color w:val="000000"/>
          <w:kern w:val="0"/>
          <w:sz w:val="24"/>
        </w:rPr>
        <w:t>个月，</w:t>
      </w:r>
      <w:r>
        <w:rPr>
          <w:rFonts w:ascii="宋体" w:hAnsi="宋体" w:hint="eastAsia"/>
          <w:bCs/>
          <w:color w:val="000000"/>
          <w:kern w:val="0"/>
          <w:sz w:val="24"/>
        </w:rPr>
        <w:t>但因本基金所持证券的流动性受到限</w:t>
      </w:r>
      <w:r>
        <w:rPr>
          <w:rFonts w:ascii="宋体" w:hAnsi="宋体" w:hint="eastAsia"/>
          <w:bCs/>
          <w:color w:val="000000"/>
          <w:kern w:val="0"/>
          <w:sz w:val="24"/>
        </w:rPr>
        <w:lastRenderedPageBreak/>
        <w:t>制而不能及时变现的，基金管理人应当及时向证监会报备解决方案</w:t>
      </w:r>
      <w:r>
        <w:rPr>
          <w:rFonts w:ascii="宋体" w:hAnsi="宋体"/>
          <w:bCs/>
          <w:color w:val="000000"/>
          <w:kern w:val="0"/>
          <w:sz w:val="24"/>
        </w:rPr>
        <w:t>。</w:t>
      </w:r>
    </w:p>
    <w:p w:rsidR="004B7B94" w:rsidRDefault="00E10EAD">
      <w:pPr>
        <w:spacing w:line="360" w:lineRule="auto"/>
        <w:ind w:firstLineChars="200" w:firstLine="480"/>
        <w:rPr>
          <w:bCs/>
          <w:sz w:val="24"/>
        </w:rPr>
      </w:pPr>
      <w:r>
        <w:rPr>
          <w:rFonts w:ascii="宋体" w:hAnsi="宋体" w:hint="eastAsia"/>
          <w:color w:val="000000"/>
          <w:kern w:val="0"/>
          <w:sz w:val="24"/>
        </w:rPr>
        <w:t>6</w:t>
      </w:r>
      <w:r>
        <w:rPr>
          <w:rFonts w:ascii="宋体" w:hAnsi="宋体" w:hint="eastAsia"/>
          <w:color w:val="000000"/>
          <w:kern w:val="0"/>
          <w:sz w:val="24"/>
        </w:rPr>
        <w:t>、</w:t>
      </w:r>
      <w:r>
        <w:rPr>
          <w:rFonts w:hint="eastAsia"/>
          <w:bCs/>
          <w:sz w:val="24"/>
        </w:rPr>
        <w:t>清算费用</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清算费用是指基金财产清算小组在进行基金清算过程中发生的所有合理费用，清算费用由基金财产清算小组优先从基金财产中支付。</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7</w:t>
      </w:r>
      <w:r>
        <w:rPr>
          <w:rFonts w:ascii="宋体" w:hAnsi="宋体" w:hint="eastAsia"/>
          <w:color w:val="000000"/>
          <w:kern w:val="0"/>
          <w:sz w:val="24"/>
        </w:rPr>
        <w:t>、基金财产清算剩余资产的分配</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依据基金财产清算的分配方案，将基金财产清算后的全部剩余资产扣</w:t>
      </w:r>
      <w:r>
        <w:rPr>
          <w:rFonts w:ascii="宋体" w:hAnsi="宋体" w:hint="eastAsia"/>
          <w:color w:val="000000"/>
          <w:kern w:val="0"/>
          <w:sz w:val="24"/>
        </w:rPr>
        <w:t>除基金财产清算费用、交纳所欠税款并清偿基金债务后，按</w:t>
      </w:r>
      <w:r>
        <w:rPr>
          <w:rFonts w:cs="Arial" w:hint="eastAsia"/>
          <w:sz w:val="24"/>
          <w:szCs w:val="21"/>
        </w:rPr>
        <w:t>各类</w:t>
      </w:r>
      <w:r>
        <w:rPr>
          <w:rFonts w:ascii="宋体" w:hAnsi="宋体" w:hint="eastAsia"/>
          <w:color w:val="000000"/>
          <w:kern w:val="0"/>
          <w:sz w:val="24"/>
        </w:rPr>
        <w:t>基金份额持有人持有的</w:t>
      </w:r>
      <w:r>
        <w:rPr>
          <w:rFonts w:ascii="彩虹粗仿宋" w:eastAsia="彩虹粗仿宋" w:hAnsi="宋体" w:cs="Arial" w:hint="eastAsia"/>
          <w:sz w:val="24"/>
        </w:rPr>
        <w:t>相应类别的</w:t>
      </w:r>
      <w:r>
        <w:rPr>
          <w:rFonts w:ascii="宋体" w:hAnsi="宋体" w:hint="eastAsia"/>
          <w:color w:val="000000"/>
          <w:kern w:val="0"/>
          <w:sz w:val="24"/>
        </w:rPr>
        <w:t>基金份额比例进行分配。</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8</w:t>
      </w:r>
      <w:r>
        <w:rPr>
          <w:rFonts w:ascii="宋体" w:hAnsi="宋体" w:hint="eastAsia"/>
          <w:color w:val="000000"/>
          <w:kern w:val="0"/>
          <w:sz w:val="24"/>
        </w:rPr>
        <w:t>、基金财产清算的公告</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color w:val="000000"/>
          <w:kern w:val="0"/>
          <w:sz w:val="24"/>
        </w:rPr>
        <w:t>5</w:t>
      </w:r>
      <w:r>
        <w:rPr>
          <w:rFonts w:ascii="宋体" w:hAnsi="宋体" w:hint="eastAsia"/>
          <w:color w:val="000000"/>
          <w:kern w:val="0"/>
          <w:sz w:val="24"/>
        </w:rPr>
        <w:t>个工作日内由基金财产清算小组进行公告。</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9</w:t>
      </w:r>
      <w:r>
        <w:rPr>
          <w:rFonts w:ascii="宋体" w:hAnsi="宋体" w:hint="eastAsia"/>
          <w:color w:val="000000"/>
          <w:kern w:val="0"/>
          <w:sz w:val="24"/>
        </w:rPr>
        <w:t>、基金财产清算账册及文件的保存</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基金财产清算账册及有关文件由基金托管人保存</w:t>
      </w:r>
      <w:r>
        <w:rPr>
          <w:rFonts w:ascii="宋体" w:hAnsi="宋体" w:hint="eastAsia"/>
          <w:color w:val="000000"/>
          <w:kern w:val="0"/>
          <w:sz w:val="24"/>
        </w:rPr>
        <w:t>15</w:t>
      </w:r>
      <w:r>
        <w:rPr>
          <w:rFonts w:ascii="宋体" w:hAnsi="宋体" w:hint="eastAsia"/>
          <w:color w:val="000000"/>
          <w:kern w:val="0"/>
          <w:sz w:val="24"/>
        </w:rPr>
        <w:t>年以上。</w:t>
      </w:r>
      <w:bookmarkStart w:id="174" w:name="_Toc125892453"/>
    </w:p>
    <w:p w:rsidR="004B7B94" w:rsidRDefault="00E10EAD">
      <w:pPr>
        <w:pStyle w:val="1"/>
        <w:spacing w:before="0" w:after="0"/>
        <w:ind w:firstLineChars="200" w:firstLine="482"/>
      </w:pPr>
      <w:bookmarkStart w:id="175" w:name="_Toc2446"/>
      <w:bookmarkStart w:id="176" w:name="_Toc291504145"/>
      <w:bookmarkStart w:id="177" w:name="_Toc29327"/>
      <w:bookmarkStart w:id="178" w:name="_Toc59200033"/>
      <w:r>
        <w:rPr>
          <w:rFonts w:hint="eastAsia"/>
        </w:rPr>
        <w:t>十七、违约责任</w:t>
      </w:r>
      <w:bookmarkEnd w:id="170"/>
      <w:bookmarkEnd w:id="171"/>
      <w:bookmarkEnd w:id="172"/>
      <w:bookmarkEnd w:id="174"/>
      <w:bookmarkEnd w:id="175"/>
      <w:bookmarkEnd w:id="176"/>
      <w:bookmarkEnd w:id="177"/>
      <w:bookmarkEnd w:id="178"/>
    </w:p>
    <w:p w:rsidR="004B7B94" w:rsidRDefault="00E10EAD">
      <w:pPr>
        <w:spacing w:line="360" w:lineRule="auto"/>
        <w:ind w:firstLineChars="200" w:firstLine="482"/>
        <w:rPr>
          <w:b/>
          <w:color w:val="000000"/>
          <w:sz w:val="24"/>
        </w:rPr>
      </w:pPr>
      <w:r>
        <w:rPr>
          <w:rFonts w:hint="eastAsia"/>
          <w:b/>
          <w:color w:val="000000"/>
          <w:sz w:val="24"/>
        </w:rPr>
        <w:t>（一）</w:t>
      </w:r>
      <w:r>
        <w:rPr>
          <w:rFonts w:hint="eastAsia"/>
          <w:color w:val="000000"/>
          <w:sz w:val="24"/>
        </w:rPr>
        <w:t>基金管理人或基金托管人不履行本协议或履行本协议不符合约定的，应当承担违约责任；</w:t>
      </w:r>
    </w:p>
    <w:p w:rsidR="004B7B94" w:rsidRDefault="00E10EAD">
      <w:pPr>
        <w:spacing w:line="360" w:lineRule="auto"/>
        <w:ind w:firstLineChars="200" w:firstLine="482"/>
        <w:rPr>
          <w:color w:val="000000"/>
          <w:sz w:val="24"/>
        </w:rPr>
      </w:pPr>
      <w:r>
        <w:rPr>
          <w:rFonts w:hint="eastAsia"/>
          <w:b/>
          <w:color w:val="000000"/>
          <w:sz w:val="24"/>
        </w:rPr>
        <w:t>（二）</w:t>
      </w:r>
      <w:bookmarkStart w:id="179" w:name="OLE_LINK3"/>
      <w:r>
        <w:rPr>
          <w:color w:val="000000"/>
          <w:sz w:val="24"/>
        </w:rPr>
        <w:t>基金管理人、基金托管人在履行各自职责的过程中，违反</w:t>
      </w:r>
      <w:r>
        <w:rPr>
          <w:rFonts w:hint="eastAsia"/>
          <w:color w:val="000000"/>
          <w:sz w:val="24"/>
        </w:rPr>
        <w:t>《基金法》</w:t>
      </w:r>
      <w:r>
        <w:rPr>
          <w:color w:val="000000"/>
          <w:sz w:val="24"/>
        </w:rPr>
        <w:t>规定或者</w:t>
      </w:r>
      <w:r>
        <w:rPr>
          <w:rFonts w:hint="eastAsia"/>
          <w:color w:val="000000"/>
          <w:sz w:val="24"/>
        </w:rPr>
        <w:t>本托管协议</w:t>
      </w:r>
      <w:r>
        <w:rPr>
          <w:color w:val="000000"/>
          <w:sz w:val="24"/>
        </w:rPr>
        <w:t>约定，给基金财产或者基金份额持有人造成损害的，应当分别对各自的行为依法承担赔偿责任；因共同行为给基金财产或者基金份额持有人造成损害的，应当承担连带赔偿责任</w:t>
      </w:r>
      <w:r>
        <w:rPr>
          <w:rFonts w:hint="eastAsia"/>
          <w:color w:val="000000"/>
          <w:sz w:val="24"/>
        </w:rPr>
        <w:t>，</w:t>
      </w:r>
      <w:r>
        <w:rPr>
          <w:color w:val="000000"/>
          <w:sz w:val="24"/>
        </w:rPr>
        <w:t>对损失的赔偿，仅限于直接损失</w:t>
      </w:r>
      <w:r>
        <w:rPr>
          <w:rFonts w:hint="eastAsia"/>
          <w:color w:val="000000"/>
          <w:sz w:val="24"/>
        </w:rPr>
        <w:t>，一方承担连带责任后有权根据另一方过错程度向另一方追偿。</w:t>
      </w:r>
      <w:bookmarkEnd w:id="179"/>
      <w:r>
        <w:rPr>
          <w:rFonts w:hint="eastAsia"/>
          <w:color w:val="000000"/>
          <w:sz w:val="24"/>
        </w:rPr>
        <w:t>但是发生下列情况，当事人免责：</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lastRenderedPageBreak/>
        <w:t>1</w:t>
      </w:r>
      <w:r>
        <w:rPr>
          <w:rFonts w:ascii="宋体" w:hAnsi="宋体" w:hint="eastAsia"/>
          <w:color w:val="000000"/>
          <w:kern w:val="0"/>
          <w:sz w:val="24"/>
        </w:rPr>
        <w:t>、基金管理人和</w:t>
      </w:r>
      <w:r>
        <w:rPr>
          <w:rFonts w:ascii="宋体" w:hAnsi="宋体"/>
          <w:color w:val="000000"/>
          <w:kern w:val="0"/>
          <w:sz w:val="24"/>
        </w:rPr>
        <w:t>/</w:t>
      </w:r>
      <w:r>
        <w:rPr>
          <w:rFonts w:ascii="宋体" w:hAnsi="宋体" w:hint="eastAsia"/>
          <w:color w:val="000000"/>
          <w:kern w:val="0"/>
          <w:sz w:val="24"/>
        </w:rPr>
        <w:t>或基金托管人按照中国证监会的规定或当时有效的法律、法规或规</w:t>
      </w:r>
      <w:r>
        <w:rPr>
          <w:rFonts w:ascii="宋体" w:hAnsi="宋体" w:hint="eastAsia"/>
          <w:color w:val="000000"/>
          <w:kern w:val="0"/>
          <w:sz w:val="24"/>
        </w:rPr>
        <w:t>章、市场交易规则的作为或不作为而造成的损失等；</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、在没有过错的情况下，基金管理人由于按照《基金合同》规定的投资原则而投资或不投资而造成的损失等；</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当事人无法预见、无法抗拒、无法避免且在本协议由基金管理人、基金托管人签署之日后发生的，使本协议当事人无法全部履行或无法部分履行本协议的任何不可抗力事件，包括但不限于洪水、地震及其他自然灾害、战争、骚乱、火灾、政府征用、没收、法律变化、突发停电或其他突发事件、证券交易所非正常暂停或停止交易、中国人民银行结算系统故障、开立本基金银行结算账户的商业银行结算系统故障</w:t>
      </w:r>
      <w:r>
        <w:rPr>
          <w:rFonts w:ascii="宋体" w:hAnsi="宋体" w:hint="eastAsia"/>
          <w:color w:val="000000"/>
          <w:kern w:val="0"/>
          <w:sz w:val="24"/>
        </w:rPr>
        <w:t>、计算机系统故障、网络故障、通讯故障、电力故障、计算机病毒攻击及其他</w:t>
      </w:r>
      <w:proofErr w:type="gramStart"/>
      <w:r>
        <w:rPr>
          <w:rFonts w:ascii="宋体" w:hAnsi="宋体" w:hint="eastAsia"/>
          <w:color w:val="000000"/>
          <w:kern w:val="0"/>
          <w:sz w:val="24"/>
        </w:rPr>
        <w:t>非基金托管人原因</w:t>
      </w:r>
      <w:proofErr w:type="gramEnd"/>
      <w:r>
        <w:rPr>
          <w:rFonts w:ascii="宋体" w:hAnsi="宋体" w:hint="eastAsia"/>
          <w:color w:val="000000"/>
          <w:kern w:val="0"/>
          <w:sz w:val="24"/>
        </w:rPr>
        <w:t>造成的意外事故。</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4</w:t>
      </w:r>
      <w:r>
        <w:rPr>
          <w:rFonts w:ascii="宋体" w:hAnsi="宋体" w:hint="eastAsia"/>
          <w:color w:val="000000"/>
          <w:kern w:val="0"/>
          <w:sz w:val="24"/>
        </w:rPr>
        <w:t>、由于基金管理人、基金托管人不可控制的因素导致业务差错，基金管理人和基金托管人虽然已经采取必要、适当、合理的措施进行检查，但是未能发现错误或</w:t>
      </w:r>
      <w:proofErr w:type="gramStart"/>
      <w:r>
        <w:rPr>
          <w:rFonts w:ascii="宋体" w:hAnsi="宋体" w:hint="eastAsia"/>
          <w:color w:val="000000"/>
          <w:kern w:val="0"/>
          <w:sz w:val="24"/>
        </w:rPr>
        <w:t>虽发现</w:t>
      </w:r>
      <w:proofErr w:type="gramEnd"/>
      <w:r>
        <w:rPr>
          <w:rFonts w:ascii="宋体" w:hAnsi="宋体" w:hint="eastAsia"/>
          <w:color w:val="000000"/>
          <w:kern w:val="0"/>
          <w:sz w:val="24"/>
        </w:rPr>
        <w:t>错误但因前述原因无法更正的，由此造成基金财产或基金份额持有人损失，基金管理人和基金托管人免除赔偿责任。但是基金管理人和基金托管人应积极采取必要的措施消除或减轻由此造成的影响。</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如果由于本协议一方当事人（“违约方”）的违约行为给基金资产或基金投资者造成损失，而另一</w:t>
      </w:r>
      <w:r>
        <w:rPr>
          <w:rFonts w:ascii="宋体" w:hAnsi="宋体" w:hint="eastAsia"/>
          <w:color w:val="000000"/>
          <w:kern w:val="0"/>
          <w:sz w:val="24"/>
        </w:rPr>
        <w:t>方当事人（“守约方”）赔偿了基金资产或基金投资者的损失，则守约方有权向违约方追索由此遭受的所有直接损失。</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由于不可抗力原因，基金管理人和基金托管人虽然已经采取必要、适当、合理的措施进行检查，但是未能发现该错误或</w:t>
      </w:r>
      <w:proofErr w:type="gramStart"/>
      <w:r>
        <w:rPr>
          <w:rFonts w:ascii="宋体" w:hAnsi="宋体" w:hint="eastAsia"/>
          <w:color w:val="000000"/>
          <w:kern w:val="0"/>
          <w:sz w:val="24"/>
        </w:rPr>
        <w:t>虽发现</w:t>
      </w:r>
      <w:proofErr w:type="gramEnd"/>
      <w:r>
        <w:rPr>
          <w:rFonts w:ascii="宋体" w:hAnsi="宋体" w:hint="eastAsia"/>
          <w:color w:val="000000"/>
          <w:kern w:val="0"/>
          <w:sz w:val="24"/>
        </w:rPr>
        <w:t>错误但因前述原因无法更正的，由此造成基金资产或基金投资者损失，基金管理人和基金托管人免除赔偿责任。</w:t>
      </w:r>
      <w:r>
        <w:rPr>
          <w:rFonts w:ascii="宋体" w:hAnsi="宋体" w:hint="eastAsia"/>
          <w:color w:val="000000"/>
          <w:kern w:val="0"/>
          <w:sz w:val="24"/>
        </w:rPr>
        <w:t>但基金管理人和基金托管人应当积极采取必要的措施消除或降低由此</w:t>
      </w:r>
      <w:r>
        <w:rPr>
          <w:rFonts w:ascii="宋体" w:hAnsi="宋体" w:hint="eastAsia"/>
          <w:color w:val="000000"/>
          <w:kern w:val="0"/>
          <w:sz w:val="24"/>
        </w:rPr>
        <w:lastRenderedPageBreak/>
        <w:t>造成的影响。</w:t>
      </w:r>
    </w:p>
    <w:p w:rsidR="004B7B94" w:rsidRDefault="00E10EAD">
      <w:pPr>
        <w:spacing w:line="360" w:lineRule="auto"/>
        <w:ind w:firstLineChars="200" w:firstLine="482"/>
        <w:rPr>
          <w:b/>
          <w:color w:val="000000"/>
          <w:sz w:val="24"/>
        </w:rPr>
      </w:pPr>
      <w:r>
        <w:rPr>
          <w:rFonts w:hint="eastAsia"/>
          <w:b/>
          <w:color w:val="000000"/>
          <w:sz w:val="24"/>
        </w:rPr>
        <w:t>（三）</w:t>
      </w:r>
      <w:r>
        <w:rPr>
          <w:rFonts w:hint="eastAsia"/>
          <w:color w:val="000000"/>
          <w:sz w:val="24"/>
        </w:rPr>
        <w:t>托管协议一方当事人违反托管协议，给另一方当事人造成损失的，应承担赔偿责任；</w:t>
      </w:r>
    </w:p>
    <w:p w:rsidR="004B7B94" w:rsidRDefault="00E10EAD">
      <w:pPr>
        <w:spacing w:line="360" w:lineRule="auto"/>
        <w:ind w:firstLineChars="200" w:firstLine="482"/>
        <w:rPr>
          <w:color w:val="000000"/>
          <w:sz w:val="24"/>
        </w:rPr>
      </w:pPr>
      <w:r>
        <w:rPr>
          <w:rFonts w:hint="eastAsia"/>
          <w:b/>
          <w:color w:val="000000"/>
          <w:sz w:val="24"/>
        </w:rPr>
        <w:t>（四）</w:t>
      </w:r>
      <w:r>
        <w:rPr>
          <w:rFonts w:hint="eastAsia"/>
          <w:color w:val="000000"/>
          <w:sz w:val="24"/>
        </w:rPr>
        <w:t>违约行为虽已发生，但本托管协议能够继续履行的，在最大限度地保护基金份额持有人利益的前提下，基金管理人和基金托管人应当继续履行本协议；</w:t>
      </w:r>
      <w:bookmarkStart w:id="180" w:name="_Toc523830010"/>
      <w:bookmarkStart w:id="181" w:name="_Toc22454480"/>
      <w:bookmarkStart w:id="182" w:name="_Toc466788868"/>
      <w:bookmarkStart w:id="183" w:name="_Toc125892454"/>
    </w:p>
    <w:p w:rsidR="004B7B94" w:rsidRDefault="00E10EAD">
      <w:pPr>
        <w:spacing w:line="360" w:lineRule="auto"/>
        <w:ind w:firstLineChars="200" w:firstLine="482"/>
        <w:rPr>
          <w:b/>
          <w:color w:val="000000"/>
          <w:sz w:val="24"/>
        </w:rPr>
      </w:pPr>
      <w:r>
        <w:rPr>
          <w:rFonts w:hint="eastAsia"/>
          <w:b/>
          <w:color w:val="000000"/>
          <w:sz w:val="24"/>
        </w:rPr>
        <w:t>（五）</w:t>
      </w:r>
      <w:r>
        <w:rPr>
          <w:rFonts w:hint="eastAsia"/>
          <w:color w:val="000000"/>
          <w:sz w:val="24"/>
        </w:rPr>
        <w:t>本协议所指损失均为直接损失。</w:t>
      </w:r>
    </w:p>
    <w:p w:rsidR="004B7B94" w:rsidRDefault="00E10EAD">
      <w:pPr>
        <w:pStyle w:val="1"/>
        <w:spacing w:before="0" w:after="0"/>
        <w:ind w:firstLineChars="200" w:firstLine="482"/>
      </w:pPr>
      <w:bookmarkStart w:id="184" w:name="_Toc59200034"/>
      <w:bookmarkStart w:id="185" w:name="_Toc6212"/>
      <w:bookmarkStart w:id="186" w:name="_Toc1787"/>
      <w:bookmarkStart w:id="187" w:name="_Toc291504146"/>
      <w:r>
        <w:rPr>
          <w:rFonts w:hint="eastAsia"/>
        </w:rPr>
        <w:t>十八、争议</w:t>
      </w:r>
      <w:bookmarkEnd w:id="180"/>
      <w:bookmarkEnd w:id="181"/>
      <w:bookmarkEnd w:id="182"/>
      <w:r>
        <w:rPr>
          <w:rFonts w:hint="eastAsia"/>
        </w:rPr>
        <w:t>解决方式</w:t>
      </w:r>
      <w:bookmarkEnd w:id="183"/>
      <w:bookmarkEnd w:id="184"/>
      <w:bookmarkEnd w:id="185"/>
      <w:bookmarkEnd w:id="186"/>
      <w:bookmarkEnd w:id="187"/>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相关各方当事人同意，因本协议而产生的或与本协议有关的一切争议，应通过友好协商或者调解解决。托管协议当事人不愿通过协商、调解解决或者协商、调解不成的，任何一方当事</w:t>
      </w:r>
      <w:r>
        <w:rPr>
          <w:rFonts w:ascii="宋体" w:hAnsi="宋体" w:hint="eastAsia"/>
          <w:color w:val="000000"/>
          <w:kern w:val="0"/>
          <w:sz w:val="24"/>
        </w:rPr>
        <w:t>人均有权将争议提交</w:t>
      </w:r>
      <w:r>
        <w:rPr>
          <w:rFonts w:hint="eastAsia"/>
          <w:bCs/>
          <w:sz w:val="24"/>
        </w:rPr>
        <w:t>中国国际经济贸易仲裁委员会</w:t>
      </w:r>
      <w:r>
        <w:rPr>
          <w:rFonts w:ascii="宋体" w:hAnsi="宋体" w:hint="eastAsia"/>
          <w:color w:val="000000"/>
          <w:kern w:val="0"/>
          <w:sz w:val="24"/>
        </w:rPr>
        <w:t>，根据该会当时有效的仲裁规则进行仲裁，仲裁的地点为</w:t>
      </w:r>
      <w:r>
        <w:rPr>
          <w:rFonts w:hint="eastAsia"/>
          <w:bCs/>
          <w:sz w:val="24"/>
        </w:rPr>
        <w:t>北京</w:t>
      </w:r>
      <w:r>
        <w:rPr>
          <w:rFonts w:ascii="宋体" w:hAnsi="宋体" w:hint="eastAsia"/>
          <w:color w:val="000000"/>
          <w:kern w:val="0"/>
          <w:sz w:val="24"/>
        </w:rPr>
        <w:t>市，仲裁裁决是终局的，并对相关各方当事人均有约束力。仲裁费用由败诉方承担。</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争议处理期间，相关各方当事人应恪守基金管理人和基金托管人职责，继续忠实、勤勉、尽责地履行《基金合同》和本协议规定的义务，维护基金份额持有人的合法权益。</w:t>
      </w:r>
    </w:p>
    <w:p w:rsidR="004B7B94" w:rsidRDefault="00E10EAD">
      <w:pPr>
        <w:spacing w:line="360" w:lineRule="auto"/>
        <w:ind w:firstLineChars="200" w:firstLine="480"/>
        <w:rPr>
          <w:rFonts w:ascii="宋体" w:hAnsi="宋体"/>
          <w:color w:val="000000"/>
          <w:kern w:val="0"/>
          <w:sz w:val="24"/>
        </w:rPr>
      </w:pPr>
      <w:r>
        <w:rPr>
          <w:rFonts w:ascii="宋体" w:hAnsi="宋体" w:hint="eastAsia"/>
          <w:color w:val="000000"/>
          <w:kern w:val="0"/>
          <w:sz w:val="24"/>
        </w:rPr>
        <w:t>本协议受中华人民共和国</w:t>
      </w:r>
      <w:r>
        <w:rPr>
          <w:rFonts w:ascii="宋体" w:hAnsi="宋体" w:hint="eastAsia"/>
          <w:sz w:val="24"/>
        </w:rPr>
        <w:t>（不包括香港、澳门特别行政区及台湾地区</w:t>
      </w:r>
      <w:r>
        <w:rPr>
          <w:rFonts w:ascii="宋体" w:hAnsi="宋体" w:hint="eastAsia"/>
          <w:color w:val="000000"/>
          <w:kern w:val="0"/>
          <w:sz w:val="24"/>
        </w:rPr>
        <w:t>）法律管辖。</w:t>
      </w:r>
      <w:bookmarkStart w:id="188" w:name="_Toc523830011"/>
      <w:bookmarkStart w:id="189" w:name="_Toc466788869"/>
      <w:bookmarkStart w:id="190" w:name="_Toc125892455"/>
      <w:bookmarkStart w:id="191" w:name="_Toc22454481"/>
    </w:p>
    <w:p w:rsidR="004B7B94" w:rsidRDefault="00E10EAD">
      <w:pPr>
        <w:pStyle w:val="1"/>
        <w:spacing w:before="0" w:after="0"/>
        <w:ind w:firstLineChars="200" w:firstLine="482"/>
      </w:pPr>
      <w:bookmarkStart w:id="192" w:name="_Toc26635"/>
      <w:bookmarkStart w:id="193" w:name="_Toc15322"/>
      <w:bookmarkStart w:id="194" w:name="_Toc59200035"/>
      <w:bookmarkStart w:id="195" w:name="_Toc291504147"/>
      <w:r>
        <w:rPr>
          <w:rFonts w:hint="eastAsia"/>
        </w:rPr>
        <w:t>十九、基金托管协议的效力</w:t>
      </w:r>
      <w:bookmarkEnd w:id="188"/>
      <w:bookmarkEnd w:id="189"/>
      <w:bookmarkEnd w:id="190"/>
      <w:bookmarkEnd w:id="191"/>
      <w:bookmarkEnd w:id="192"/>
      <w:bookmarkEnd w:id="193"/>
      <w:bookmarkEnd w:id="194"/>
      <w:bookmarkEnd w:id="195"/>
    </w:p>
    <w:p w:rsidR="004B7B94" w:rsidRDefault="00E10EAD">
      <w:pPr>
        <w:spacing w:line="360" w:lineRule="auto"/>
        <w:ind w:firstLineChars="200" w:firstLine="482"/>
        <w:rPr>
          <w:color w:val="000000"/>
          <w:sz w:val="24"/>
        </w:rPr>
      </w:pPr>
      <w:r>
        <w:rPr>
          <w:rFonts w:hint="eastAsia"/>
          <w:b/>
          <w:color w:val="000000"/>
          <w:sz w:val="24"/>
        </w:rPr>
        <w:t>（一）</w:t>
      </w:r>
      <w:r>
        <w:rPr>
          <w:rFonts w:hint="eastAsia"/>
          <w:color w:val="000000"/>
          <w:sz w:val="24"/>
        </w:rPr>
        <w:t>基金管理人在向中国证监会申请发售基金份额时提交的基金托管协议草案，应经托管协议当事人双方盖章以及双方法定代表人或授权代表签章，协议当事人双方根据中国证监会的意见修改托管协议草案。托管协议以报中国证监会备案的文本为正式文本；</w:t>
      </w:r>
    </w:p>
    <w:p w:rsidR="004B7B94" w:rsidRDefault="00E10EAD">
      <w:pPr>
        <w:spacing w:line="360" w:lineRule="auto"/>
        <w:ind w:firstLineChars="200" w:firstLine="482"/>
        <w:rPr>
          <w:color w:val="000000"/>
          <w:sz w:val="24"/>
        </w:rPr>
      </w:pPr>
      <w:r>
        <w:rPr>
          <w:rFonts w:hint="eastAsia"/>
          <w:b/>
          <w:color w:val="000000"/>
          <w:sz w:val="24"/>
        </w:rPr>
        <w:t>（二）</w:t>
      </w:r>
      <w:r>
        <w:rPr>
          <w:rFonts w:hint="eastAsia"/>
          <w:color w:val="000000"/>
          <w:sz w:val="24"/>
        </w:rPr>
        <w:t>基金托管协议自《基金合同》成立之日起成立，自《基金合同》生效之日起生效。基金托管协议的有效期自其生效之日起至基金财产清算结果报</w:t>
      </w:r>
      <w:r>
        <w:rPr>
          <w:rFonts w:hint="eastAsia"/>
          <w:color w:val="000000"/>
          <w:sz w:val="24"/>
        </w:rPr>
        <w:lastRenderedPageBreak/>
        <w:t>中国证监会备案并公告之日止；</w:t>
      </w:r>
    </w:p>
    <w:p w:rsidR="004B7B94" w:rsidRDefault="00E10EAD">
      <w:pPr>
        <w:spacing w:line="360" w:lineRule="auto"/>
        <w:ind w:firstLineChars="200" w:firstLine="482"/>
        <w:rPr>
          <w:color w:val="000000"/>
          <w:sz w:val="24"/>
        </w:rPr>
      </w:pPr>
      <w:r>
        <w:rPr>
          <w:rFonts w:hint="eastAsia"/>
          <w:b/>
          <w:color w:val="000000"/>
          <w:sz w:val="24"/>
        </w:rPr>
        <w:t>（三）</w:t>
      </w:r>
      <w:r>
        <w:rPr>
          <w:rFonts w:hint="eastAsia"/>
          <w:color w:val="000000"/>
          <w:sz w:val="24"/>
        </w:rPr>
        <w:t>基金托管协议自生效之日起对托管协议当事人具有同等的法律约束力；</w:t>
      </w:r>
    </w:p>
    <w:p w:rsidR="004B7B94" w:rsidRDefault="00E10EAD">
      <w:pPr>
        <w:spacing w:line="360" w:lineRule="auto"/>
        <w:ind w:firstLineChars="200" w:firstLine="482"/>
        <w:rPr>
          <w:b/>
          <w:color w:val="000000"/>
          <w:sz w:val="24"/>
        </w:rPr>
      </w:pPr>
      <w:r>
        <w:rPr>
          <w:rFonts w:hint="eastAsia"/>
          <w:b/>
          <w:color w:val="000000"/>
          <w:sz w:val="24"/>
        </w:rPr>
        <w:t>（四）</w:t>
      </w:r>
      <w:r>
        <w:rPr>
          <w:rFonts w:hint="eastAsia"/>
          <w:color w:val="000000"/>
          <w:sz w:val="24"/>
        </w:rPr>
        <w:t>基金托管协议一式陆份，除上报中国证监会贰份外，基金</w:t>
      </w:r>
      <w:r>
        <w:rPr>
          <w:rFonts w:hint="eastAsia"/>
          <w:color w:val="000000"/>
          <w:sz w:val="24"/>
        </w:rPr>
        <w:t>管理人和基金托管人分别持有贰份，每份具有同等的法律效力。</w:t>
      </w:r>
    </w:p>
    <w:p w:rsidR="004B7B94" w:rsidRDefault="00E10EAD">
      <w:pPr>
        <w:pStyle w:val="1"/>
        <w:spacing w:before="0" w:after="0"/>
        <w:ind w:firstLineChars="200" w:firstLine="482"/>
      </w:pPr>
      <w:bookmarkStart w:id="196" w:name="_Toc6582"/>
      <w:bookmarkStart w:id="197" w:name="_Toc291504148"/>
      <w:bookmarkStart w:id="198" w:name="_Toc19769"/>
      <w:bookmarkStart w:id="199" w:name="_Toc59200036"/>
      <w:r>
        <w:rPr>
          <w:rFonts w:hint="eastAsia"/>
        </w:rPr>
        <w:t>二十、其他事项</w:t>
      </w:r>
      <w:bookmarkEnd w:id="196"/>
      <w:bookmarkEnd w:id="197"/>
      <w:bookmarkEnd w:id="198"/>
      <w:bookmarkEnd w:id="199"/>
    </w:p>
    <w:p w:rsidR="004B7B94" w:rsidRDefault="00E10EAD">
      <w:pPr>
        <w:spacing w:line="360" w:lineRule="auto"/>
        <w:ind w:firstLineChars="200" w:firstLine="480"/>
        <w:rPr>
          <w:color w:val="000000"/>
          <w:sz w:val="24"/>
        </w:rPr>
      </w:pPr>
      <w:r>
        <w:rPr>
          <w:rFonts w:hint="eastAsia"/>
          <w:color w:val="000000"/>
          <w:sz w:val="24"/>
        </w:rPr>
        <w:t>本协议未尽事宜，当事人依据基金合同、有关法律、法规等规定协商办理。</w:t>
      </w:r>
    </w:p>
    <w:p w:rsidR="004B7B94" w:rsidRDefault="00E10EAD">
      <w:pPr>
        <w:pStyle w:val="1"/>
        <w:spacing w:before="0" w:after="0"/>
        <w:ind w:firstLineChars="200" w:firstLine="482"/>
      </w:pPr>
      <w:bookmarkStart w:id="200" w:name="_Toc59200037"/>
      <w:bookmarkStart w:id="201" w:name="_Toc13986"/>
      <w:bookmarkStart w:id="202" w:name="_Toc291504149"/>
      <w:bookmarkStart w:id="203" w:name="_Toc8923"/>
      <w:bookmarkStart w:id="204" w:name="_Toc523830014"/>
      <w:bookmarkStart w:id="205" w:name="_Toc22454484"/>
      <w:r>
        <w:rPr>
          <w:rFonts w:hint="eastAsia"/>
        </w:rPr>
        <w:t>二十一、基金托管协议的签订</w:t>
      </w:r>
      <w:bookmarkEnd w:id="200"/>
      <w:bookmarkEnd w:id="201"/>
      <w:bookmarkEnd w:id="202"/>
      <w:bookmarkEnd w:id="203"/>
      <w:bookmarkEnd w:id="204"/>
      <w:bookmarkEnd w:id="205"/>
    </w:p>
    <w:p w:rsidR="004B7B94" w:rsidRDefault="00E10EAD">
      <w:pPr>
        <w:spacing w:line="360" w:lineRule="auto"/>
        <w:ind w:firstLineChars="200" w:firstLine="480"/>
        <w:rPr>
          <w:color w:val="000000"/>
        </w:rPr>
      </w:pPr>
      <w:r>
        <w:rPr>
          <w:rFonts w:hint="eastAsia"/>
          <w:color w:val="000000"/>
          <w:sz w:val="24"/>
        </w:rPr>
        <w:t>本托管协议双方法定代表人或授权代表签章、签订地、签订日，</w:t>
      </w:r>
      <w:proofErr w:type="gramStart"/>
      <w:r>
        <w:rPr>
          <w:rFonts w:hint="eastAsia"/>
          <w:color w:val="000000"/>
          <w:sz w:val="24"/>
        </w:rPr>
        <w:t>见签署页</w:t>
      </w:r>
      <w:proofErr w:type="gramEnd"/>
      <w:r>
        <w:rPr>
          <w:rFonts w:hint="eastAsia"/>
          <w:color w:val="000000"/>
          <w:sz w:val="24"/>
        </w:rPr>
        <w:t>。</w:t>
      </w:r>
    </w:p>
    <w:sectPr w:rsidR="004B7B94">
      <w:footerReference w:type="default" r:id="rId14"/>
      <w:footerReference w:type="first" r:id="rId15"/>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EAD" w:rsidRDefault="00E10EAD">
      <w:pPr>
        <w:spacing w:line="240" w:lineRule="auto"/>
      </w:pPr>
      <w:r>
        <w:separator/>
      </w:r>
    </w:p>
  </w:endnote>
  <w:endnote w:type="continuationSeparator" w:id="0">
    <w:p w:rsidR="00E10EAD" w:rsidRDefault="00E10E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宋体-WinCharSetFFFF-H">
    <w:altName w:val="宋体"/>
    <w:charset w:val="86"/>
    <w:family w:val="auto"/>
    <w:pitch w:val="default"/>
    <w:sig w:usb0="00000000" w:usb1="00000000" w:usb2="00000010" w:usb3="00000000" w:csb0="00040000" w:csb1="00000000"/>
  </w:font>
  <w:font w:name="??">
    <w:altName w:val="Times New Roman"/>
    <w:charset w:val="00"/>
    <w:family w:val="roman"/>
    <w:pitch w:val="default"/>
    <w:sig w:usb0="00000000" w:usb1="00000000" w:usb2="00000000" w:usb3="00000000" w:csb0="00040001" w:csb1="00000000"/>
  </w:font>
  <w:font w:name="彩虹粗仿宋">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E10EAD">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B7B94" w:rsidRDefault="004B7B9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4B7B94">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E10EAD">
    <w:pPr>
      <w:pStyle w:val="a8"/>
      <w:jc w:val="center"/>
      <w:rPr>
        <w:rStyle w:val="ab"/>
      </w:rPr>
    </w:pPr>
    <w:r>
      <w:rPr>
        <w:rStyle w:val="ab"/>
      </w:rPr>
      <w:fldChar w:fldCharType="begin"/>
    </w:r>
    <w:r>
      <w:rPr>
        <w:rStyle w:val="ab"/>
      </w:rPr>
      <w:instrText xml:space="preserve">PAGE  </w:instrText>
    </w:r>
    <w:r>
      <w:rPr>
        <w:rStyle w:val="ab"/>
      </w:rPr>
      <w:fldChar w:fldCharType="separate"/>
    </w:r>
    <w:r>
      <w:rPr>
        <w:rStyle w:val="ab"/>
      </w:rPr>
      <w:t>2</w:t>
    </w:r>
    <w:r>
      <w:rPr>
        <w:rStyle w:val="ab"/>
      </w:rPr>
      <w:fldChar w:fldCharType="end"/>
    </w:r>
  </w:p>
  <w:p w:rsidR="004B7B94" w:rsidRDefault="004B7B94">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E10EAD">
    <w:pPr>
      <w:pStyle w:val="a8"/>
      <w:jc w:val="center"/>
      <w:rPr>
        <w:rStyle w:val="ab"/>
      </w:rPr>
    </w:pPr>
    <w:r>
      <w:rPr>
        <w:rStyle w:val="ab"/>
      </w:rPr>
      <w:fldChar w:fldCharType="begin"/>
    </w:r>
    <w:r>
      <w:rPr>
        <w:rStyle w:val="ab"/>
      </w:rPr>
      <w:instrText xml:space="preserve">PAGE  </w:instrText>
    </w:r>
    <w:r>
      <w:rPr>
        <w:rStyle w:val="ab"/>
      </w:rPr>
      <w:fldChar w:fldCharType="separate"/>
    </w:r>
    <w:r w:rsidR="00241CE9">
      <w:rPr>
        <w:rStyle w:val="ab"/>
        <w:noProof/>
      </w:rPr>
      <w:t>19</w:t>
    </w:r>
    <w:r>
      <w:rPr>
        <w:rStyle w:val="ab"/>
      </w:rPr>
      <w:fldChar w:fldCharType="end"/>
    </w:r>
  </w:p>
  <w:p w:rsidR="004B7B94" w:rsidRDefault="004B7B94">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4B7B9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EAD" w:rsidRDefault="00E10EAD">
      <w:pPr>
        <w:spacing w:after="0"/>
      </w:pPr>
      <w:r>
        <w:separator/>
      </w:r>
    </w:p>
  </w:footnote>
  <w:footnote w:type="continuationSeparator" w:id="0">
    <w:p w:rsidR="00E10EAD" w:rsidRDefault="00E10E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E10EAD">
    <w:pPr>
      <w:pStyle w:val="a9"/>
      <w:jc w:val="right"/>
    </w:pPr>
    <w:proofErr w:type="gramStart"/>
    <w:r>
      <w:rPr>
        <w:rFonts w:ascii="宋体" w:hAnsi="宋体" w:hint="eastAsia"/>
        <w:szCs w:val="21"/>
      </w:rPr>
      <w:t>华商元</w:t>
    </w:r>
    <w:proofErr w:type="gramEnd"/>
    <w:r>
      <w:rPr>
        <w:rFonts w:ascii="宋体" w:hAnsi="宋体" w:hint="eastAsia"/>
        <w:szCs w:val="21"/>
      </w:rPr>
      <w:t>亨灵活配置混合型证券投资</w:t>
    </w:r>
    <w:r>
      <w:rPr>
        <w:rFonts w:hint="eastAsia"/>
      </w:rPr>
      <w:t>基金托管协议（更新）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E10EAD">
    <w:pPr>
      <w:pStyle w:val="a9"/>
      <w:jc w:val="right"/>
    </w:pPr>
    <w:proofErr w:type="gramStart"/>
    <w:r>
      <w:rPr>
        <w:rFonts w:hint="eastAsia"/>
      </w:rPr>
      <w:t>华商元</w:t>
    </w:r>
    <w:proofErr w:type="gramEnd"/>
    <w:r>
      <w:rPr>
        <w:rFonts w:hint="eastAsia"/>
      </w:rPr>
      <w:t>亨灵活配置混合型</w:t>
    </w:r>
    <w:r>
      <w:rPr>
        <w:rFonts w:ascii="宋体" w:hAnsi="宋体" w:hint="eastAsia"/>
        <w:szCs w:val="21"/>
      </w:rPr>
      <w:t>证券投资</w:t>
    </w:r>
    <w:r>
      <w:rPr>
        <w:rFonts w:hint="eastAsia"/>
      </w:rPr>
      <w:t>基金托管协议（</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B94" w:rsidRDefault="00E10EAD">
    <w:pPr>
      <w:pStyle w:val="a9"/>
      <w:jc w:val="right"/>
    </w:pPr>
    <w:proofErr w:type="gramStart"/>
    <w:r>
      <w:rPr>
        <w:rFonts w:hint="eastAsia"/>
      </w:rPr>
      <w:t>华商元</w:t>
    </w:r>
    <w:proofErr w:type="gramEnd"/>
    <w:r>
      <w:rPr>
        <w:rFonts w:hint="eastAsia"/>
      </w:rPr>
      <w:t>亨灵活配置混合型</w:t>
    </w:r>
    <w:r>
      <w:rPr>
        <w:rFonts w:ascii="宋体" w:hAnsi="宋体" w:hint="eastAsia"/>
        <w:szCs w:val="21"/>
      </w:rPr>
      <w:t>证券投资</w:t>
    </w:r>
    <w:r>
      <w:rPr>
        <w:rFonts w:hint="eastAsia"/>
      </w:rPr>
      <w:t>基金托管协议（</w:t>
    </w:r>
    <w:r>
      <w:rPr>
        <w:rFonts w:hint="eastAsia"/>
      </w:rPr>
      <w:t>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5631E"/>
    <w:multiLevelType w:val="multilevel"/>
    <w:tmpl w:val="34A5631E"/>
    <w:lvl w:ilvl="0">
      <w:start w:val="1"/>
      <w:numFmt w:val="decimal"/>
      <w:pStyle w:val="UCAlpha2"/>
      <w:lvlText w:val="(%1)"/>
      <w:lvlJc w:val="left"/>
      <w:pPr>
        <w:tabs>
          <w:tab w:val="left" w:pos="1941"/>
        </w:tabs>
        <w:ind w:left="1941" w:hanging="681"/>
      </w:pPr>
      <w:rPr>
        <w:rFonts w:ascii="Arial" w:hAnsi="Arial" w:hint="default"/>
        <w:b w:val="0"/>
        <w:i w:val="0"/>
        <w:sz w:val="20"/>
      </w:rPr>
    </w:lvl>
    <w:lvl w:ilvl="1">
      <w:start w:val="1"/>
      <w:numFmt w:val="lowerLetter"/>
      <w:lvlText w:val="%2."/>
      <w:lvlJc w:val="left"/>
      <w:pPr>
        <w:tabs>
          <w:tab w:val="left" w:pos="1620"/>
        </w:tabs>
        <w:ind w:left="1620" w:hanging="360"/>
      </w:pPr>
      <w:rPr>
        <w:rFonts w:hint="default"/>
      </w:rPr>
    </w:lvl>
    <w:lvl w:ilvl="2">
      <w:start w:val="1"/>
      <w:numFmt w:val="lowerRoman"/>
      <w:lvlText w:val="%3."/>
      <w:lvlJc w:val="right"/>
      <w:pPr>
        <w:tabs>
          <w:tab w:val="left" w:pos="2340"/>
        </w:tabs>
        <w:ind w:left="2340" w:hanging="180"/>
      </w:pPr>
      <w:rPr>
        <w:rFonts w:hint="default"/>
      </w:rPr>
    </w:lvl>
    <w:lvl w:ilvl="3">
      <w:start w:val="1"/>
      <w:numFmt w:val="decimal"/>
      <w:lvlText w:val="%4."/>
      <w:lvlJc w:val="left"/>
      <w:pPr>
        <w:tabs>
          <w:tab w:val="left" w:pos="3060"/>
        </w:tabs>
        <w:ind w:left="3060" w:hanging="360"/>
      </w:pPr>
      <w:rPr>
        <w:rFonts w:hint="default"/>
      </w:rPr>
    </w:lvl>
    <w:lvl w:ilvl="4">
      <w:start w:val="1"/>
      <w:numFmt w:val="lowerLetter"/>
      <w:lvlText w:val="%5."/>
      <w:lvlJc w:val="left"/>
      <w:pPr>
        <w:tabs>
          <w:tab w:val="left" w:pos="3780"/>
        </w:tabs>
        <w:ind w:left="3780" w:hanging="360"/>
      </w:pPr>
      <w:rPr>
        <w:rFonts w:hint="default"/>
      </w:rPr>
    </w:lvl>
    <w:lvl w:ilvl="5">
      <w:start w:val="1"/>
      <w:numFmt w:val="lowerRoman"/>
      <w:lvlText w:val="%6."/>
      <w:lvlJc w:val="right"/>
      <w:pPr>
        <w:tabs>
          <w:tab w:val="left" w:pos="4500"/>
        </w:tabs>
        <w:ind w:left="4500" w:hanging="180"/>
      </w:pPr>
      <w:rPr>
        <w:rFonts w:hint="default"/>
      </w:rPr>
    </w:lvl>
    <w:lvl w:ilvl="6">
      <w:start w:val="1"/>
      <w:numFmt w:val="decimal"/>
      <w:lvlText w:val="%7."/>
      <w:lvlJc w:val="left"/>
      <w:pPr>
        <w:tabs>
          <w:tab w:val="left" w:pos="5220"/>
        </w:tabs>
        <w:ind w:left="5220" w:hanging="360"/>
      </w:pPr>
      <w:rPr>
        <w:rFonts w:hint="default"/>
      </w:rPr>
    </w:lvl>
    <w:lvl w:ilvl="7">
      <w:start w:val="1"/>
      <w:numFmt w:val="lowerLetter"/>
      <w:lvlText w:val="%8."/>
      <w:lvlJc w:val="left"/>
      <w:pPr>
        <w:tabs>
          <w:tab w:val="left" w:pos="5940"/>
        </w:tabs>
        <w:ind w:left="5940" w:hanging="360"/>
      </w:pPr>
      <w:rPr>
        <w:rFonts w:hint="default"/>
      </w:rPr>
    </w:lvl>
    <w:lvl w:ilvl="8">
      <w:start w:val="1"/>
      <w:numFmt w:val="lowerRoman"/>
      <w:lvlText w:val="%9."/>
      <w:lvlJc w:val="right"/>
      <w:pPr>
        <w:tabs>
          <w:tab w:val="left" w:pos="6660"/>
        </w:tabs>
        <w:ind w:left="666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NmNlYTM2NDBhYTM2YTdlYzA0Y2E5ZDkxMTg4MDUifQ=="/>
  </w:docVars>
  <w:rsids>
    <w:rsidRoot w:val="00350BD4"/>
    <w:rsid w:val="000059E8"/>
    <w:rsid w:val="00040FAF"/>
    <w:rsid w:val="00060ADD"/>
    <w:rsid w:val="000C1D45"/>
    <w:rsid w:val="000D3D3F"/>
    <w:rsid w:val="00241CE9"/>
    <w:rsid w:val="002F0D79"/>
    <w:rsid w:val="00350BD4"/>
    <w:rsid w:val="003B0D16"/>
    <w:rsid w:val="0040100D"/>
    <w:rsid w:val="004B7B94"/>
    <w:rsid w:val="004D2FF9"/>
    <w:rsid w:val="004D51B8"/>
    <w:rsid w:val="005331DE"/>
    <w:rsid w:val="0054245D"/>
    <w:rsid w:val="005427A5"/>
    <w:rsid w:val="005A2AAC"/>
    <w:rsid w:val="005C5F3C"/>
    <w:rsid w:val="006222AE"/>
    <w:rsid w:val="006F46FF"/>
    <w:rsid w:val="00855A10"/>
    <w:rsid w:val="00913EA6"/>
    <w:rsid w:val="009270D3"/>
    <w:rsid w:val="00AB0455"/>
    <w:rsid w:val="00AD41A0"/>
    <w:rsid w:val="00BD711C"/>
    <w:rsid w:val="00D56EBB"/>
    <w:rsid w:val="00D75A40"/>
    <w:rsid w:val="00E10EAD"/>
    <w:rsid w:val="00E45BC0"/>
    <w:rsid w:val="00F02E0F"/>
    <w:rsid w:val="00F11652"/>
    <w:rsid w:val="00F842DB"/>
    <w:rsid w:val="012574A6"/>
    <w:rsid w:val="0BCF4344"/>
    <w:rsid w:val="10922000"/>
    <w:rsid w:val="10C31BC1"/>
    <w:rsid w:val="16E909DA"/>
    <w:rsid w:val="184452D8"/>
    <w:rsid w:val="1CD14A55"/>
    <w:rsid w:val="25055DB0"/>
    <w:rsid w:val="2CDE6177"/>
    <w:rsid w:val="2EEB7FF2"/>
    <w:rsid w:val="2EFB1764"/>
    <w:rsid w:val="3EBF2127"/>
    <w:rsid w:val="478D281D"/>
    <w:rsid w:val="4E1F3ADA"/>
    <w:rsid w:val="52A12DAC"/>
    <w:rsid w:val="5563538C"/>
    <w:rsid w:val="5FED6AAD"/>
    <w:rsid w:val="656504F4"/>
    <w:rsid w:val="75C80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49C92A-97B5-4A2C-A032-B4022EDB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微软雅黑"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rFonts w:ascii="Times New Roman" w:eastAsia="宋体" w:hAnsi="Times New Roman"/>
      <w:kern w:val="2"/>
      <w:sz w:val="21"/>
      <w:szCs w:val="24"/>
    </w:rPr>
  </w:style>
  <w:style w:type="paragraph" w:styleId="1">
    <w:name w:val="heading 1"/>
    <w:basedOn w:val="a"/>
    <w:next w:val="a"/>
    <w:link w:val="1Char"/>
    <w:qFormat/>
    <w:pPr>
      <w:keepNext/>
      <w:keepLines/>
      <w:spacing w:before="120" w:after="120" w:line="360" w:lineRule="auto"/>
      <w:jc w:val="center"/>
      <w:outlineLvl w:val="0"/>
    </w:pPr>
    <w:rPr>
      <w:rFonts w:ascii="宋体"/>
      <w:b/>
      <w:color w:val="000000"/>
      <w:kern w:val="0"/>
      <w:sz w:val="24"/>
      <w:szCs w:val="20"/>
    </w:rPr>
  </w:style>
  <w:style w:type="paragraph" w:styleId="2">
    <w:name w:val="heading 2"/>
    <w:basedOn w:val="a"/>
    <w:next w:val="a"/>
    <w:link w:val="2Char"/>
    <w:qFormat/>
    <w:pPr>
      <w:keepNext/>
      <w:keepLines/>
      <w:spacing w:before="120" w:after="120" w:line="360" w:lineRule="auto"/>
      <w:outlineLvl w:val="1"/>
    </w:pPr>
    <w:rPr>
      <w:rFonts w:ascii="宋体"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ind w:leftChars="1200" w:left="2520"/>
    </w:pPr>
  </w:style>
  <w:style w:type="paragraph" w:styleId="a3">
    <w:name w:val="Document Map"/>
    <w:basedOn w:val="a"/>
    <w:link w:val="Char"/>
    <w:semiHidden/>
    <w:qFormat/>
    <w:pPr>
      <w:shd w:val="clear" w:color="auto" w:fill="000080"/>
    </w:pPr>
  </w:style>
  <w:style w:type="paragraph" w:styleId="a4">
    <w:name w:val="annotation text"/>
    <w:basedOn w:val="a"/>
    <w:link w:val="Char0"/>
    <w:qFormat/>
    <w:pPr>
      <w:jc w:val="left"/>
    </w:pPr>
  </w:style>
  <w:style w:type="paragraph" w:styleId="a5">
    <w:name w:val="Body Text"/>
    <w:basedOn w:val="a"/>
    <w:link w:val="Char1"/>
    <w:qFormat/>
    <w:pPr>
      <w:tabs>
        <w:tab w:val="left" w:pos="3780"/>
      </w:tabs>
      <w:autoSpaceDE w:val="0"/>
      <w:autoSpaceDN w:val="0"/>
      <w:spacing w:beforeLines="50" w:afterLines="50" w:line="360" w:lineRule="auto"/>
      <w:textAlignment w:val="bottom"/>
      <w:outlineLvl w:val="0"/>
    </w:pPr>
    <w:rPr>
      <w:rFonts w:ascii="宋体" w:hAnsi="宋体"/>
      <w:b/>
      <w:bCs/>
      <w:color w:val="FF0000"/>
      <w:sz w:val="24"/>
    </w:rPr>
  </w:style>
  <w:style w:type="paragraph" w:styleId="a6">
    <w:name w:val="Body Text Indent"/>
    <w:basedOn w:val="a"/>
    <w:link w:val="Char2"/>
    <w:qFormat/>
    <w:pPr>
      <w:spacing w:line="360" w:lineRule="auto"/>
      <w:ind w:firstLine="420"/>
    </w:pPr>
    <w:rPr>
      <w:szCs w:val="2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tabs>
        <w:tab w:val="left" w:pos="1260"/>
      </w:tabs>
      <w:spacing w:line="360" w:lineRule="auto"/>
      <w:ind w:firstLineChars="200" w:firstLine="480"/>
    </w:pPr>
    <w:rPr>
      <w:rFonts w:ascii="宋体" w:hAnsi="宋体"/>
      <w:kern w:val="0"/>
      <w:sz w:val="24"/>
    </w:rPr>
  </w:style>
  <w:style w:type="paragraph" w:styleId="a7">
    <w:name w:val="Balloon Text"/>
    <w:basedOn w:val="a"/>
    <w:link w:val="Char3"/>
    <w:semiHidden/>
    <w:qFormat/>
    <w:rPr>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455"/>
      </w:tabs>
      <w:spacing w:before="120" w:line="360" w:lineRule="auto"/>
      <w:ind w:firstLine="425"/>
      <w:jc w:val="left"/>
    </w:pPr>
    <w:rPr>
      <w:b/>
      <w:caps/>
      <w:sz w:val="20"/>
      <w:szCs w:val="20"/>
    </w:rPr>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22">
    <w:name w:val="Body Text 2"/>
    <w:basedOn w:val="a"/>
    <w:link w:val="2Char1"/>
    <w:qFormat/>
    <w:pPr>
      <w:tabs>
        <w:tab w:val="left" w:pos="3780"/>
      </w:tabs>
      <w:autoSpaceDE w:val="0"/>
      <w:autoSpaceDN w:val="0"/>
      <w:spacing w:beforeLines="50" w:afterLines="50" w:line="300" w:lineRule="auto"/>
      <w:textAlignment w:val="bottom"/>
      <w:outlineLvl w:val="0"/>
    </w:pPr>
    <w:rPr>
      <w:rFonts w:ascii="宋体" w:hAnsi="宋体"/>
      <w:b/>
      <w:bCs/>
      <w:sz w:val="24"/>
    </w:rPr>
  </w:style>
  <w:style w:type="paragraph" w:styleId="aa">
    <w:name w:val="annotation subject"/>
    <w:basedOn w:val="a4"/>
    <w:next w:val="a4"/>
    <w:link w:val="Char6"/>
    <w:semiHidden/>
    <w:qFormat/>
    <w:rPr>
      <w:b/>
      <w:bCs/>
    </w:rPr>
  </w:style>
  <w:style w:type="character" w:styleId="ab">
    <w:name w:val="page number"/>
    <w:basedOn w:val="a0"/>
    <w:qFormat/>
  </w:style>
  <w:style w:type="character" w:styleId="ac">
    <w:name w:val="Hyperlink"/>
    <w:uiPriority w:val="99"/>
    <w:qFormat/>
    <w:rPr>
      <w:color w:val="0000FF"/>
      <w:u w:val="single"/>
    </w:rPr>
  </w:style>
  <w:style w:type="character" w:styleId="ad">
    <w:name w:val="annotation reference"/>
    <w:qFormat/>
    <w:rPr>
      <w:sz w:val="21"/>
      <w:szCs w:val="21"/>
    </w:rPr>
  </w:style>
  <w:style w:type="character" w:customStyle="1" w:styleId="1Char">
    <w:name w:val="标题 1 Char"/>
    <w:link w:val="1"/>
    <w:qFormat/>
    <w:rPr>
      <w:rFonts w:ascii="宋体" w:eastAsia="宋体" w:hAnsi="Times New Roman" w:cs="Times New Roman"/>
      <w:b/>
      <w:color w:val="000000"/>
      <w:sz w:val="24"/>
      <w:szCs w:val="20"/>
    </w:rPr>
  </w:style>
  <w:style w:type="character" w:customStyle="1" w:styleId="2Char">
    <w:name w:val="标题 2 Char"/>
    <w:link w:val="2"/>
    <w:qFormat/>
    <w:rPr>
      <w:rFonts w:ascii="宋体" w:eastAsia="宋体" w:hAnsi="Arial" w:cs="Times New Roman"/>
      <w:b/>
      <w:kern w:val="2"/>
      <w:sz w:val="21"/>
      <w:szCs w:val="20"/>
    </w:rPr>
  </w:style>
  <w:style w:type="character" w:customStyle="1" w:styleId="Char5">
    <w:name w:val="页眉 Char"/>
    <w:link w:val="a9"/>
    <w:qFormat/>
    <w:rPr>
      <w:rFonts w:ascii="Times New Roman" w:eastAsia="宋体" w:hAnsi="Times New Roman" w:cs="Times New Roman"/>
      <w:kern w:val="2"/>
      <w:sz w:val="18"/>
      <w:szCs w:val="18"/>
    </w:rPr>
  </w:style>
  <w:style w:type="character" w:customStyle="1" w:styleId="Char4">
    <w:name w:val="页脚 Char"/>
    <w:link w:val="a8"/>
    <w:qFormat/>
    <w:rPr>
      <w:rFonts w:ascii="Times New Roman" w:eastAsia="宋体" w:hAnsi="Times New Roman" w:cs="Times New Roman"/>
      <w:kern w:val="2"/>
      <w:sz w:val="18"/>
      <w:szCs w:val="18"/>
    </w:rPr>
  </w:style>
  <w:style w:type="character" w:customStyle="1" w:styleId="Char2">
    <w:name w:val="正文文本缩进 Char"/>
    <w:link w:val="a6"/>
    <w:qFormat/>
    <w:rPr>
      <w:rFonts w:ascii="Times New Roman" w:eastAsia="宋体" w:hAnsi="Times New Roman" w:cs="Times New Roman"/>
      <w:kern w:val="2"/>
      <w:sz w:val="21"/>
      <w:szCs w:val="20"/>
    </w:rPr>
  </w:style>
  <w:style w:type="paragraph" w:customStyle="1" w:styleId="ae">
    <w:name w:val="正文所"/>
    <w:basedOn w:val="a"/>
    <w:qFormat/>
    <w:pPr>
      <w:spacing w:line="360" w:lineRule="auto"/>
      <w:ind w:firstLine="420"/>
    </w:pPr>
  </w:style>
  <w:style w:type="paragraph" w:customStyle="1" w:styleId="2025025">
    <w:name w:val="样式 首行缩进:  2 字符 段前: 0.25 行 段后: 0.25 行"/>
    <w:basedOn w:val="a"/>
    <w:qFormat/>
    <w:pPr>
      <w:spacing w:beforeLines="25" w:afterLines="25" w:line="300" w:lineRule="auto"/>
      <w:ind w:firstLineChars="200" w:firstLine="420"/>
    </w:pPr>
    <w:rPr>
      <w:szCs w:val="21"/>
    </w:rPr>
  </w:style>
  <w:style w:type="paragraph" w:customStyle="1" w:styleId="Default">
    <w:name w:val="Default"/>
    <w:qFormat/>
    <w:pPr>
      <w:widowControl w:val="0"/>
      <w:autoSpaceDE w:val="0"/>
      <w:autoSpaceDN w:val="0"/>
      <w:adjustRightInd w:val="0"/>
      <w:spacing w:after="200" w:line="276" w:lineRule="auto"/>
    </w:pPr>
    <w:rPr>
      <w:rFonts w:ascii="宋体" w:eastAsia="宋体" w:hAnsi="Times New Roman" w:cs="宋体"/>
      <w:color w:val="000000"/>
      <w:sz w:val="24"/>
      <w:szCs w:val="24"/>
    </w:rPr>
  </w:style>
  <w:style w:type="character" w:customStyle="1" w:styleId="Char3">
    <w:name w:val="批注框文本 Char"/>
    <w:link w:val="a7"/>
    <w:semiHidden/>
    <w:qFormat/>
    <w:rPr>
      <w:rFonts w:ascii="Times New Roman" w:eastAsia="宋体" w:hAnsi="Times New Roman" w:cs="Times New Roman"/>
      <w:kern w:val="2"/>
      <w:sz w:val="18"/>
      <w:szCs w:val="18"/>
    </w:rPr>
  </w:style>
  <w:style w:type="paragraph" w:customStyle="1" w:styleId="ParaChar">
    <w:name w:val="默认段落字体 Para Char"/>
    <w:basedOn w:val="a"/>
    <w:qFormat/>
  </w:style>
  <w:style w:type="character" w:customStyle="1" w:styleId="Char">
    <w:name w:val="文档结构图 Char"/>
    <w:link w:val="a3"/>
    <w:semiHidden/>
    <w:qFormat/>
    <w:rPr>
      <w:rFonts w:ascii="Times New Roman" w:eastAsia="宋体" w:hAnsi="Times New Roman" w:cs="Times New Roman"/>
      <w:kern w:val="2"/>
      <w:sz w:val="21"/>
      <w:szCs w:val="24"/>
      <w:shd w:val="clear" w:color="auto" w:fill="000080"/>
    </w:rPr>
  </w:style>
  <w:style w:type="character" w:customStyle="1" w:styleId="Char0">
    <w:name w:val="批注文字 Char"/>
    <w:link w:val="a4"/>
    <w:qFormat/>
    <w:rPr>
      <w:rFonts w:ascii="Times New Roman" w:eastAsia="宋体" w:hAnsi="Times New Roman" w:cs="Times New Roman"/>
      <w:kern w:val="2"/>
      <w:sz w:val="21"/>
      <w:szCs w:val="24"/>
    </w:rPr>
  </w:style>
  <w:style w:type="character" w:customStyle="1" w:styleId="Char6">
    <w:name w:val="批注主题 Char"/>
    <w:link w:val="aa"/>
    <w:semiHidden/>
    <w:qFormat/>
    <w:rPr>
      <w:rFonts w:ascii="Times New Roman" w:eastAsia="宋体" w:hAnsi="Times New Roman" w:cs="Times New Roman"/>
      <w:b/>
      <w:bCs/>
      <w:kern w:val="2"/>
      <w:sz w:val="21"/>
      <w:szCs w:val="24"/>
    </w:rPr>
  </w:style>
  <w:style w:type="paragraph" w:customStyle="1" w:styleId="Char7">
    <w:name w:val="Char"/>
    <w:basedOn w:val="a"/>
    <w:qFormat/>
  </w:style>
  <w:style w:type="character" w:customStyle="1" w:styleId="2Char0">
    <w:name w:val="正文文本缩进 2 Char"/>
    <w:link w:val="20"/>
    <w:qFormat/>
    <w:rPr>
      <w:rFonts w:ascii="宋体" w:eastAsia="宋体" w:hAnsi="宋体" w:cs="Times New Roman"/>
      <w:sz w:val="24"/>
      <w:szCs w:val="24"/>
    </w:rPr>
  </w:style>
  <w:style w:type="character" w:customStyle="1" w:styleId="Char1">
    <w:name w:val="正文文本 Char"/>
    <w:link w:val="a5"/>
    <w:qFormat/>
    <w:rPr>
      <w:rFonts w:ascii="宋体" w:eastAsia="宋体" w:hAnsi="宋体" w:cs="Times New Roman"/>
      <w:b/>
      <w:bCs/>
      <w:color w:val="FF0000"/>
      <w:kern w:val="2"/>
      <w:sz w:val="24"/>
      <w:szCs w:val="24"/>
    </w:rPr>
  </w:style>
  <w:style w:type="character" w:customStyle="1" w:styleId="2Char1">
    <w:name w:val="正文文本 2 Char"/>
    <w:link w:val="22"/>
    <w:qFormat/>
    <w:rPr>
      <w:rFonts w:ascii="宋体" w:eastAsia="宋体" w:hAnsi="宋体" w:cs="Times New Roman"/>
      <w:b/>
      <w:bCs/>
      <w:kern w:val="2"/>
      <w:sz w:val="24"/>
      <w:szCs w:val="24"/>
    </w:rPr>
  </w:style>
  <w:style w:type="paragraph" w:customStyle="1" w:styleId="UCAlpha2">
    <w:name w:val="UCAlpha 2"/>
    <w:basedOn w:val="a"/>
    <w:qFormat/>
    <w:pPr>
      <w:widowControl/>
      <w:numPr>
        <w:numId w:val="1"/>
      </w:numPr>
      <w:spacing w:after="140" w:line="290" w:lineRule="auto"/>
    </w:pPr>
    <w:rPr>
      <w:rFonts w:ascii="Arial" w:hAnsi="Arial"/>
      <w:kern w:val="20"/>
      <w:sz w:val="20"/>
      <w:lang w:val="en-GB" w:eastAsia="en-US"/>
    </w:rPr>
  </w:style>
  <w:style w:type="paragraph" w:customStyle="1" w:styleId="11">
    <w:name w:val="修订1"/>
    <w:hidden/>
    <w:uiPriority w:val="99"/>
    <w:semiHidden/>
    <w:qFormat/>
    <w:pPr>
      <w:spacing w:after="200" w:line="276" w:lineRule="auto"/>
    </w:pPr>
    <w:rPr>
      <w:rFonts w:ascii="Times New Roman" w:eastAsia="宋体" w:hAnsi="Times New Roman"/>
      <w:kern w:val="2"/>
      <w:sz w:val="21"/>
      <w:szCs w:val="24"/>
    </w:rPr>
  </w:style>
  <w:style w:type="paragraph" w:customStyle="1" w:styleId="12">
    <w:name w:val="列出段落1"/>
    <w:basedOn w:val="a"/>
    <w:uiPriority w:val="34"/>
    <w:qFormat/>
    <w:pPr>
      <w:ind w:firstLineChars="200" w:firstLine="420"/>
    </w:pPr>
  </w:style>
  <w:style w:type="paragraph" w:customStyle="1" w:styleId="23">
    <w:name w:val="修订2"/>
    <w:hidden/>
    <w:uiPriority w:val="99"/>
    <w:semiHidden/>
    <w:qFormat/>
    <w:pPr>
      <w:spacing w:after="200" w:line="276" w:lineRule="auto"/>
    </w:pPr>
    <w:rPr>
      <w:rFonts w:ascii="Times New Roman" w:eastAsia="宋体" w:hAnsi="Times New Roman"/>
      <w:kern w:val="2"/>
      <w:sz w:val="21"/>
      <w:szCs w:val="24"/>
    </w:rPr>
  </w:style>
  <w:style w:type="paragraph" w:customStyle="1" w:styleId="30">
    <w:name w:val="修订3"/>
    <w:hidden/>
    <w:uiPriority w:val="99"/>
    <w:semiHidden/>
    <w:qFormat/>
    <w:pPr>
      <w:spacing w:after="200" w:line="276" w:lineRule="auto"/>
    </w:pPr>
    <w:rPr>
      <w:rFonts w:ascii="Times New Roman" w:eastAsia="宋体" w:hAnsi="Times New Roman"/>
      <w:kern w:val="2"/>
      <w:sz w:val="21"/>
      <w:szCs w:val="24"/>
    </w:rPr>
  </w:style>
  <w:style w:type="character" w:customStyle="1" w:styleId="read">
    <w:name w:val="read"/>
    <w:qFormat/>
  </w:style>
  <w:style w:type="paragraph" w:customStyle="1" w:styleId="40">
    <w:name w:val="修订4"/>
    <w:hidden/>
    <w:uiPriority w:val="99"/>
    <w:unhideWhenUsed/>
    <w:qFormat/>
    <w:rPr>
      <w:rFonts w:ascii="Times New Roman" w:eastAsia="宋体" w:hAnsi="Times New Roman"/>
      <w:kern w:val="2"/>
      <w:sz w:val="21"/>
      <w:szCs w:val="24"/>
    </w:rPr>
  </w:style>
  <w:style w:type="paragraph" w:customStyle="1" w:styleId="50">
    <w:name w:val="修订5"/>
    <w:hidden/>
    <w:uiPriority w:val="99"/>
    <w:unhideWhenUsed/>
    <w:qFormat/>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D8E7-D1F9-413B-869C-2F9F696D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4871</Words>
  <Characters>27766</Characters>
  <Application>Microsoft Office Word</Application>
  <DocSecurity>0</DocSecurity>
  <Lines>231</Lines>
  <Paragraphs>65</Paragraphs>
  <ScaleCrop>false</ScaleCrop>
  <Company>Lenovo (Beijing) Limited</Company>
  <LinksUpToDate>false</LinksUpToDate>
  <CharactersWithSpaces>32572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张博洋</cp:lastModifiedBy>
  <cp:revision>13</cp:revision>
  <cp:lastPrinted>2023-08-15T07:48:00Z</cp:lastPrinted>
  <dcterms:created xsi:type="dcterms:W3CDTF">2023-07-07T06:57:00Z</dcterms:created>
  <dcterms:modified xsi:type="dcterms:W3CDTF">2025-04-07T04:54:00Z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9548789D8EAD40208064E5F6E3A2DFB9_12</vt:lpwstr>
  </property>
  <property fmtid="{D5CDD505-2E9C-101B-9397-08002B2CF9AE}" pid="4" name="KSOTemplateDocerSaveRecord">
    <vt:lpwstr>eyJoZGlkIjoiYjQ5NmNlYTM2NDBhYTM2YTdlYzA0Y2E5ZDkxMTg4MDUiLCJ1c2VySWQiOiI0OTA5OTM5NzAifQ==</vt:lpwstr>
  </property>
</Properties>
</file>