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8D9E8">
      <w:pPr>
        <w:adjustRightInd w:val="0"/>
        <w:spacing w:line="360" w:lineRule="auto"/>
        <w:jc w:val="center"/>
        <w:rPr>
          <w:rFonts w:ascii="Arial" w:hAnsi="Arial" w:cs="Arial"/>
          <w:b/>
          <w:sz w:val="28"/>
          <w:szCs w:val="28"/>
        </w:rPr>
      </w:pPr>
      <w:r>
        <w:rPr>
          <w:rFonts w:hint="eastAsia" w:ascii="Arial" w:hAnsi="Arial" w:cs="Arial"/>
          <w:b/>
          <w:sz w:val="28"/>
          <w:szCs w:val="28"/>
        </w:rPr>
        <w:t>华商基金管理有限公司关于华商信用增强债券型证券投资基金</w:t>
      </w:r>
    </w:p>
    <w:p w14:paraId="0AFE7551">
      <w:pPr>
        <w:adjustRightInd w:val="0"/>
        <w:spacing w:line="360" w:lineRule="auto"/>
        <w:jc w:val="center"/>
        <w:rPr>
          <w:rFonts w:ascii="Arial" w:hAnsi="Arial" w:cs="Arial"/>
          <w:b/>
          <w:sz w:val="28"/>
          <w:szCs w:val="28"/>
        </w:rPr>
      </w:pPr>
      <w:r>
        <w:rPr>
          <w:rFonts w:hint="eastAsia" w:ascii="Arial" w:hAnsi="Arial" w:cs="Arial"/>
          <w:b/>
          <w:sz w:val="28"/>
          <w:szCs w:val="28"/>
        </w:rPr>
        <w:t>开通同一基金不同类别基金份额相互转换业务的公告</w:t>
      </w:r>
    </w:p>
    <w:p w14:paraId="5EE7652A">
      <w:pPr>
        <w:spacing w:line="360" w:lineRule="auto"/>
        <w:rPr>
          <w:rFonts w:ascii="Arial" w:hAnsi="Arial" w:cs="Arial"/>
          <w:sz w:val="24"/>
          <w:szCs w:val="24"/>
        </w:rPr>
      </w:pPr>
    </w:p>
    <w:p w14:paraId="6E20D3B2">
      <w:pPr>
        <w:spacing w:line="360" w:lineRule="auto"/>
        <w:ind w:firstLine="420" w:firstLineChars="200"/>
        <w:jc w:val="both"/>
        <w:rPr>
          <w:rFonts w:ascii="宋体" w:hAnsi="宋体"/>
          <w:szCs w:val="21"/>
        </w:rPr>
      </w:pPr>
      <w:r>
        <w:rPr>
          <w:rFonts w:ascii="宋体" w:hAnsi="宋体"/>
          <w:szCs w:val="21"/>
        </w:rPr>
        <w:t>为满足广大投资者的理财需求，更好地为投资者提供服务，华商基金管理有限公司（以下简称“本公司”或“本基金管理人”）</w:t>
      </w:r>
      <w:r>
        <w:rPr>
          <w:rFonts w:hint="eastAsia" w:ascii="宋体" w:hAnsi="宋体"/>
          <w:szCs w:val="21"/>
        </w:rPr>
        <w:t>决定自2026年</w:t>
      </w:r>
      <w:r>
        <w:rPr>
          <w:rFonts w:ascii="宋体" w:hAnsi="宋体"/>
          <w:szCs w:val="21"/>
        </w:rPr>
        <w:t>9</w:t>
      </w:r>
      <w:r>
        <w:rPr>
          <w:rFonts w:hint="eastAsia" w:ascii="宋体" w:hAnsi="宋体"/>
          <w:szCs w:val="21"/>
        </w:rPr>
        <w:t>月</w:t>
      </w:r>
      <w:r>
        <w:rPr>
          <w:rFonts w:ascii="宋体" w:hAnsi="宋体"/>
          <w:szCs w:val="21"/>
        </w:rPr>
        <w:t>2</w:t>
      </w:r>
      <w:r>
        <w:rPr>
          <w:rFonts w:hint="eastAsia" w:ascii="宋体" w:hAnsi="宋体"/>
          <w:szCs w:val="21"/>
        </w:rPr>
        <w:t>日起，对本公司管理的</w:t>
      </w:r>
      <w:r>
        <w:rPr>
          <w:rFonts w:hint="eastAsia" w:ascii="宋体" w:hAnsi="宋体" w:cs="Arial"/>
          <w:kern w:val="0"/>
          <w:szCs w:val="20"/>
        </w:rPr>
        <w:t>华商信用增强债券型证券投资基金（以下简称“本基金”</w:t>
      </w:r>
      <w:r>
        <w:rPr>
          <w:rFonts w:hint="eastAsia" w:ascii="宋体" w:hAnsi="宋体"/>
          <w:szCs w:val="21"/>
        </w:rPr>
        <w:t>）开通同一基金不同类别基金份额之间的转换业务（以下简称“转换业务”）。</w:t>
      </w:r>
    </w:p>
    <w:p w14:paraId="7C6652E4"/>
    <w:p w14:paraId="7C86DF26">
      <w:pPr>
        <w:adjustRightInd w:val="0"/>
        <w:snapToGrid w:val="0"/>
        <w:spacing w:line="360" w:lineRule="auto"/>
        <w:jc w:val="left"/>
        <w:rPr>
          <w:rFonts w:ascii="Arial" w:hAnsi="Arial" w:cs="Arial"/>
          <w:b/>
          <w:sz w:val="24"/>
          <w:szCs w:val="24"/>
        </w:rPr>
      </w:pPr>
      <w:r>
        <w:rPr>
          <w:rFonts w:hint="eastAsia" w:ascii="Arial" w:hAnsi="Arial" w:cs="Arial"/>
          <w:b/>
          <w:sz w:val="24"/>
          <w:szCs w:val="24"/>
        </w:rPr>
        <w:t>一、适用基金</w:t>
      </w:r>
    </w:p>
    <w:tbl>
      <w:tblPr>
        <w:tblStyle w:val="9"/>
        <w:tblW w:w="8562" w:type="dxa"/>
        <w:tblInd w:w="-5" w:type="dxa"/>
        <w:tblLayout w:type="autofit"/>
        <w:tblCellMar>
          <w:top w:w="0" w:type="dxa"/>
          <w:left w:w="108" w:type="dxa"/>
          <w:bottom w:w="0" w:type="dxa"/>
          <w:right w:w="108" w:type="dxa"/>
        </w:tblCellMar>
      </w:tblPr>
      <w:tblGrid>
        <w:gridCol w:w="704"/>
        <w:gridCol w:w="1506"/>
        <w:gridCol w:w="6352"/>
      </w:tblGrid>
      <w:tr w14:paraId="5E35A4B9">
        <w:tblPrEx>
          <w:tblCellMar>
            <w:top w:w="0" w:type="dxa"/>
            <w:left w:w="108" w:type="dxa"/>
            <w:bottom w:w="0" w:type="dxa"/>
            <w:right w:w="108" w:type="dxa"/>
          </w:tblCellMar>
        </w:tblPrEx>
        <w:trPr>
          <w:trHeight w:val="290"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D2BAB6A">
            <w:pPr>
              <w:widowControl/>
              <w:jc w:val="center"/>
              <w:rPr>
                <w:rFonts w:ascii="宋体" w:hAnsi="宋体" w:cs="Arial"/>
                <w:kern w:val="0"/>
                <w:szCs w:val="20"/>
              </w:rPr>
            </w:pPr>
            <w:r>
              <w:rPr>
                <w:rFonts w:ascii="宋体" w:hAnsi="宋体" w:cs="Arial"/>
                <w:kern w:val="0"/>
                <w:szCs w:val="20"/>
              </w:rPr>
              <w:t>序号</w:t>
            </w:r>
          </w:p>
        </w:tc>
        <w:tc>
          <w:tcPr>
            <w:tcW w:w="1506" w:type="dxa"/>
            <w:tcBorders>
              <w:top w:val="single" w:color="auto" w:sz="4" w:space="0"/>
              <w:left w:val="nil"/>
              <w:bottom w:val="single" w:color="auto" w:sz="4" w:space="0"/>
              <w:right w:val="single" w:color="auto" w:sz="4" w:space="0"/>
            </w:tcBorders>
            <w:shd w:val="clear" w:color="auto" w:fill="auto"/>
            <w:noWrap/>
            <w:vAlign w:val="bottom"/>
          </w:tcPr>
          <w:p w14:paraId="6F5BF006">
            <w:pPr>
              <w:widowControl/>
              <w:jc w:val="center"/>
              <w:rPr>
                <w:rFonts w:ascii="宋体" w:hAnsi="宋体" w:cs="Arial"/>
                <w:kern w:val="0"/>
                <w:szCs w:val="20"/>
              </w:rPr>
            </w:pPr>
            <w:r>
              <w:rPr>
                <w:rFonts w:ascii="宋体" w:hAnsi="宋体" w:cs="Arial"/>
                <w:kern w:val="0"/>
                <w:szCs w:val="20"/>
              </w:rPr>
              <w:t>基金代码</w:t>
            </w:r>
          </w:p>
        </w:tc>
        <w:tc>
          <w:tcPr>
            <w:tcW w:w="6352" w:type="dxa"/>
            <w:tcBorders>
              <w:top w:val="single" w:color="auto" w:sz="4" w:space="0"/>
              <w:left w:val="nil"/>
              <w:bottom w:val="single" w:color="auto" w:sz="4" w:space="0"/>
              <w:right w:val="single" w:color="auto" w:sz="4" w:space="0"/>
            </w:tcBorders>
            <w:shd w:val="clear" w:color="auto" w:fill="auto"/>
            <w:noWrap/>
            <w:vAlign w:val="bottom"/>
          </w:tcPr>
          <w:p w14:paraId="35141350">
            <w:pPr>
              <w:widowControl/>
              <w:jc w:val="center"/>
              <w:rPr>
                <w:rFonts w:ascii="宋体" w:hAnsi="宋体" w:cs="Arial"/>
                <w:kern w:val="0"/>
                <w:szCs w:val="20"/>
              </w:rPr>
            </w:pPr>
            <w:r>
              <w:rPr>
                <w:rFonts w:ascii="宋体" w:hAnsi="宋体" w:cs="Arial"/>
                <w:kern w:val="0"/>
                <w:szCs w:val="20"/>
              </w:rPr>
              <w:t>基金名称</w:t>
            </w:r>
          </w:p>
        </w:tc>
      </w:tr>
      <w:tr w14:paraId="4EE19D4E">
        <w:tblPrEx>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D440B">
            <w:pPr>
              <w:widowControl/>
              <w:jc w:val="center"/>
              <w:rPr>
                <w:rFonts w:ascii="宋体" w:hAnsi="宋体" w:cs="Arial"/>
                <w:kern w:val="0"/>
                <w:szCs w:val="20"/>
              </w:rPr>
            </w:pPr>
            <w:r>
              <w:rPr>
                <w:rFonts w:hint="eastAsia" w:ascii="宋体" w:hAnsi="宋体" w:cs="Arial"/>
                <w:kern w:val="0"/>
                <w:szCs w:val="20"/>
              </w:rPr>
              <w:t>1</w:t>
            </w:r>
          </w:p>
        </w:tc>
        <w:tc>
          <w:tcPr>
            <w:tcW w:w="1506" w:type="dxa"/>
            <w:tcBorders>
              <w:top w:val="single" w:color="auto" w:sz="4" w:space="0"/>
              <w:left w:val="nil"/>
              <w:bottom w:val="single" w:color="auto" w:sz="4" w:space="0"/>
              <w:right w:val="single" w:color="auto" w:sz="4" w:space="0"/>
            </w:tcBorders>
            <w:shd w:val="clear" w:color="auto" w:fill="auto"/>
            <w:noWrap/>
            <w:vAlign w:val="bottom"/>
          </w:tcPr>
          <w:p w14:paraId="712836FB">
            <w:pPr>
              <w:widowControl/>
              <w:jc w:val="center"/>
              <w:rPr>
                <w:rFonts w:ascii="宋体" w:hAnsi="宋体" w:cs="Arial"/>
                <w:kern w:val="0"/>
                <w:szCs w:val="20"/>
              </w:rPr>
            </w:pPr>
            <w:r>
              <w:rPr>
                <w:rFonts w:ascii="宋体" w:hAnsi="宋体" w:cs="Arial"/>
                <w:kern w:val="0"/>
                <w:szCs w:val="20"/>
              </w:rPr>
              <w:t>001751</w:t>
            </w:r>
          </w:p>
        </w:tc>
        <w:tc>
          <w:tcPr>
            <w:tcW w:w="6352" w:type="dxa"/>
            <w:tcBorders>
              <w:top w:val="single" w:color="auto" w:sz="4" w:space="0"/>
              <w:left w:val="nil"/>
              <w:bottom w:val="single" w:color="auto" w:sz="4" w:space="0"/>
              <w:right w:val="single" w:color="auto" w:sz="4" w:space="0"/>
            </w:tcBorders>
            <w:shd w:val="clear" w:color="auto" w:fill="auto"/>
            <w:noWrap/>
            <w:vAlign w:val="bottom"/>
          </w:tcPr>
          <w:p w14:paraId="2ED224FC">
            <w:pPr>
              <w:widowControl/>
              <w:jc w:val="center"/>
              <w:rPr>
                <w:rFonts w:ascii="宋体" w:hAnsi="宋体" w:cs="Arial"/>
                <w:kern w:val="0"/>
                <w:szCs w:val="20"/>
              </w:rPr>
            </w:pPr>
            <w:r>
              <w:rPr>
                <w:rFonts w:hint="eastAsia" w:ascii="宋体" w:hAnsi="宋体" w:cs="Arial"/>
                <w:kern w:val="0"/>
                <w:szCs w:val="20"/>
              </w:rPr>
              <w:t>华商信用增强债券型证券投资基金</w:t>
            </w:r>
            <w:r>
              <w:rPr>
                <w:rFonts w:ascii="宋体" w:hAnsi="宋体" w:cs="Arial"/>
                <w:kern w:val="0"/>
                <w:szCs w:val="20"/>
              </w:rPr>
              <w:t>A</w:t>
            </w:r>
          </w:p>
        </w:tc>
      </w:tr>
      <w:tr w14:paraId="0A737EA3">
        <w:tblPrEx>
          <w:tblCellMar>
            <w:top w:w="0" w:type="dxa"/>
            <w:left w:w="108" w:type="dxa"/>
            <w:bottom w:w="0" w:type="dxa"/>
            <w:right w:w="108" w:type="dxa"/>
          </w:tblCellMar>
        </w:tblPrEx>
        <w:trPr>
          <w:trHeight w:val="28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14:paraId="405C974C">
            <w:pPr>
              <w:widowControl/>
              <w:jc w:val="center"/>
              <w:rPr>
                <w:rFonts w:ascii="宋体" w:hAnsi="宋体" w:cs="Arial"/>
                <w:kern w:val="0"/>
                <w:szCs w:val="20"/>
              </w:rPr>
            </w:pPr>
            <w:r>
              <w:rPr>
                <w:rFonts w:hint="eastAsia" w:ascii="宋体" w:hAnsi="宋体" w:cs="Arial"/>
                <w:kern w:val="0"/>
                <w:szCs w:val="20"/>
              </w:rPr>
              <w:t>2</w:t>
            </w:r>
          </w:p>
        </w:tc>
        <w:tc>
          <w:tcPr>
            <w:tcW w:w="1506" w:type="dxa"/>
            <w:tcBorders>
              <w:top w:val="nil"/>
              <w:left w:val="nil"/>
              <w:bottom w:val="single" w:color="auto" w:sz="4" w:space="0"/>
              <w:right w:val="single" w:color="auto" w:sz="4" w:space="0"/>
            </w:tcBorders>
            <w:shd w:val="clear" w:color="auto" w:fill="auto"/>
            <w:noWrap/>
            <w:vAlign w:val="bottom"/>
          </w:tcPr>
          <w:p w14:paraId="3B250FE8">
            <w:pPr>
              <w:widowControl/>
              <w:jc w:val="center"/>
              <w:rPr>
                <w:rFonts w:ascii="宋体" w:hAnsi="宋体" w:cs="Arial"/>
                <w:kern w:val="0"/>
                <w:szCs w:val="20"/>
              </w:rPr>
            </w:pPr>
            <w:r>
              <w:rPr>
                <w:rFonts w:ascii="宋体" w:hAnsi="宋体" w:cs="Arial"/>
                <w:kern w:val="0"/>
                <w:szCs w:val="20"/>
              </w:rPr>
              <w:t>001752</w:t>
            </w:r>
          </w:p>
        </w:tc>
        <w:tc>
          <w:tcPr>
            <w:tcW w:w="6352" w:type="dxa"/>
            <w:tcBorders>
              <w:top w:val="nil"/>
              <w:left w:val="nil"/>
              <w:bottom w:val="single" w:color="auto" w:sz="4" w:space="0"/>
              <w:right w:val="single" w:color="auto" w:sz="4" w:space="0"/>
            </w:tcBorders>
            <w:shd w:val="clear" w:color="auto" w:fill="auto"/>
            <w:noWrap/>
            <w:vAlign w:val="bottom"/>
          </w:tcPr>
          <w:p w14:paraId="17E01432">
            <w:pPr>
              <w:widowControl/>
              <w:jc w:val="center"/>
              <w:rPr>
                <w:rFonts w:ascii="宋体" w:hAnsi="宋体" w:cs="Arial"/>
                <w:kern w:val="0"/>
                <w:szCs w:val="20"/>
              </w:rPr>
            </w:pPr>
            <w:r>
              <w:rPr>
                <w:rFonts w:hint="eastAsia" w:ascii="宋体" w:hAnsi="宋体" w:cs="Arial"/>
                <w:kern w:val="0"/>
                <w:szCs w:val="20"/>
              </w:rPr>
              <w:t>华商信用增强债券型证券投资基金C</w:t>
            </w:r>
          </w:p>
        </w:tc>
      </w:tr>
    </w:tbl>
    <w:p w14:paraId="790CE1AC"/>
    <w:p w14:paraId="7E3A6EE4">
      <w:pPr>
        <w:adjustRightInd w:val="0"/>
        <w:snapToGrid w:val="0"/>
        <w:spacing w:line="360" w:lineRule="auto"/>
        <w:jc w:val="left"/>
        <w:rPr>
          <w:rFonts w:ascii="Arial" w:hAnsi="Arial" w:cs="Arial"/>
          <w:b/>
          <w:sz w:val="24"/>
          <w:szCs w:val="24"/>
        </w:rPr>
      </w:pPr>
      <w:r>
        <w:rPr>
          <w:rFonts w:hint="eastAsia" w:ascii="Arial" w:hAnsi="Arial" w:cs="Arial"/>
          <w:b/>
          <w:sz w:val="24"/>
          <w:szCs w:val="24"/>
        </w:rPr>
        <w:t>二、转换业务的办理时间</w:t>
      </w:r>
    </w:p>
    <w:p w14:paraId="22BD1C89">
      <w:pPr>
        <w:spacing w:line="360" w:lineRule="auto"/>
        <w:ind w:firstLine="420" w:firstLineChars="200"/>
        <w:jc w:val="both"/>
        <w:rPr>
          <w:rFonts w:ascii="宋体" w:hAnsi="宋体"/>
          <w:szCs w:val="21"/>
        </w:rPr>
      </w:pPr>
      <w:r>
        <w:rPr>
          <w:rFonts w:hint="eastAsia" w:ascii="宋体" w:hAnsi="宋体"/>
          <w:szCs w:val="21"/>
        </w:rPr>
        <w:t>上述同一基金不同类别基金份额之间转换业务的具体办理时间为上述基金的开放日，详见基金合同（更新）及招募说明书（更新）的规定。投资者可以在基金的开放日，向上述基金的销售机构咨询和办理本业务。</w:t>
      </w:r>
    </w:p>
    <w:p w14:paraId="4BFC896A">
      <w:pPr>
        <w:spacing w:line="360" w:lineRule="auto"/>
        <w:ind w:firstLine="420" w:firstLineChars="200"/>
        <w:jc w:val="left"/>
        <w:rPr>
          <w:rFonts w:ascii="宋体" w:hAnsi="宋体"/>
          <w:szCs w:val="21"/>
        </w:rPr>
      </w:pPr>
    </w:p>
    <w:p w14:paraId="07A8BE7C">
      <w:pPr>
        <w:keepNext w:val="0"/>
        <w:keepLines w:val="0"/>
        <w:spacing w:before="0" w:beforeLines="-2147483648" w:after="0" w:afterLines="-2147483648"/>
        <w:jc w:val="left"/>
        <w:outlineLvl w:val="9"/>
        <w:rPr>
          <w:b/>
          <w:bCs/>
          <w:sz w:val="24"/>
          <w:szCs w:val="28"/>
        </w:rPr>
      </w:pPr>
      <w:r>
        <w:rPr>
          <w:rFonts w:hint="eastAsia"/>
          <w:b/>
          <w:bCs/>
          <w:sz w:val="24"/>
          <w:szCs w:val="28"/>
        </w:rPr>
        <w:t>三、转换业务的规则</w:t>
      </w:r>
    </w:p>
    <w:p w14:paraId="77B79F4C">
      <w:pPr>
        <w:spacing w:line="360" w:lineRule="auto"/>
        <w:ind w:firstLine="482" w:firstLineChars="200"/>
        <w:jc w:val="left"/>
        <w:rPr>
          <w:rFonts w:ascii="宋体" w:hAnsi="宋体"/>
          <w:b/>
          <w:sz w:val="24"/>
          <w:szCs w:val="24"/>
        </w:rPr>
      </w:pPr>
      <w:bookmarkStart w:id="0" w:name="t_2_5_0179_a1_fm1"/>
      <w:bookmarkEnd w:id="0"/>
      <w:r>
        <w:rPr>
          <w:rFonts w:ascii="宋体" w:hAnsi="宋体"/>
          <w:b/>
          <w:bCs/>
          <w:sz w:val="24"/>
          <w:szCs w:val="24"/>
        </w:rPr>
        <w:t>3.1</w:t>
      </w:r>
      <w:r>
        <w:rPr>
          <w:rFonts w:hint="eastAsia" w:ascii="宋体" w:hAnsi="宋体"/>
          <w:b/>
          <w:bCs/>
          <w:sz w:val="24"/>
          <w:szCs w:val="24"/>
        </w:rPr>
        <w:t>转换费率</w:t>
      </w:r>
    </w:p>
    <w:p w14:paraId="6FA0544A">
      <w:pPr>
        <w:spacing w:line="360" w:lineRule="auto"/>
        <w:ind w:firstLine="420" w:firstLineChars="200"/>
        <w:jc w:val="both"/>
        <w:rPr>
          <w:rFonts w:ascii="宋体" w:hAnsi="宋体"/>
          <w:szCs w:val="21"/>
        </w:rPr>
      </w:pPr>
      <w:r>
        <w:rPr>
          <w:rFonts w:ascii="宋体" w:hAnsi="宋体"/>
          <w:szCs w:val="21"/>
        </w:rPr>
        <w:t>3.1.1．基金转换费用由转出基金的赎回费和转出与转入基金的申购费补差二部分构成，具体收取情况视每次转换时两只基金的申购费差异情况和赎回费率而定。基金转换费用由基金份额持有人承担。</w:t>
      </w:r>
    </w:p>
    <w:p w14:paraId="33D2FBBE">
      <w:pPr>
        <w:spacing w:line="360" w:lineRule="auto"/>
        <w:ind w:firstLine="420" w:firstLineChars="200"/>
        <w:jc w:val="both"/>
        <w:rPr>
          <w:rFonts w:ascii="宋体" w:hAnsi="宋体"/>
          <w:szCs w:val="21"/>
        </w:rPr>
      </w:pPr>
      <w:r>
        <w:rPr>
          <w:rFonts w:hint="eastAsia" w:ascii="宋体" w:hAnsi="宋体"/>
          <w:szCs w:val="21"/>
        </w:rPr>
        <w:t>（</w:t>
      </w:r>
      <w:r>
        <w:rPr>
          <w:rFonts w:ascii="宋体" w:hAnsi="宋体"/>
          <w:szCs w:val="21"/>
        </w:rPr>
        <w:t>1）如转入基金的申购费率&gt;转出基金的申购费率</w:t>
      </w:r>
    </w:p>
    <w:p w14:paraId="401073C7">
      <w:pPr>
        <w:spacing w:line="360" w:lineRule="auto"/>
        <w:ind w:firstLine="420" w:firstLineChars="200"/>
        <w:jc w:val="both"/>
        <w:rPr>
          <w:rFonts w:ascii="宋体" w:hAnsi="宋体"/>
          <w:szCs w:val="21"/>
        </w:rPr>
      </w:pPr>
      <w:r>
        <w:rPr>
          <w:rFonts w:hint="eastAsia" w:ascii="宋体" w:hAnsi="宋体"/>
          <w:szCs w:val="21"/>
        </w:rPr>
        <w:t>转出金额＝转出基金份额×转出基金当日基金份额净值</w:t>
      </w:r>
    </w:p>
    <w:p w14:paraId="52366545">
      <w:pPr>
        <w:spacing w:line="360" w:lineRule="auto"/>
        <w:ind w:firstLine="420" w:firstLineChars="200"/>
        <w:jc w:val="both"/>
        <w:rPr>
          <w:rFonts w:ascii="宋体" w:hAnsi="宋体"/>
          <w:szCs w:val="21"/>
        </w:rPr>
      </w:pPr>
      <w:r>
        <w:rPr>
          <w:rFonts w:hint="eastAsia" w:ascii="宋体" w:hAnsi="宋体"/>
          <w:szCs w:val="21"/>
        </w:rPr>
        <w:t>转出基金赎回费＝转出金额×转出基金赎回费率</w:t>
      </w:r>
    </w:p>
    <w:p w14:paraId="0BD7E8F4">
      <w:pPr>
        <w:spacing w:line="360" w:lineRule="auto"/>
        <w:ind w:firstLine="420" w:firstLineChars="200"/>
        <w:jc w:val="both"/>
        <w:rPr>
          <w:rFonts w:ascii="宋体" w:hAnsi="宋体"/>
          <w:szCs w:val="21"/>
        </w:rPr>
      </w:pPr>
      <w:r>
        <w:rPr>
          <w:rFonts w:hint="eastAsia" w:ascii="宋体" w:hAnsi="宋体"/>
          <w:szCs w:val="21"/>
        </w:rPr>
        <w:t>转入总金额＝转出金额－转出基金赎回费</w:t>
      </w:r>
    </w:p>
    <w:p w14:paraId="751086CB">
      <w:pPr>
        <w:spacing w:line="360" w:lineRule="auto"/>
        <w:ind w:firstLine="420" w:firstLineChars="200"/>
        <w:jc w:val="both"/>
        <w:rPr>
          <w:rFonts w:ascii="宋体" w:hAnsi="宋体"/>
          <w:szCs w:val="21"/>
        </w:rPr>
      </w:pPr>
      <w:r>
        <w:rPr>
          <w:rFonts w:hint="eastAsia" w:ascii="宋体" w:hAnsi="宋体"/>
          <w:szCs w:val="21"/>
        </w:rPr>
        <w:t>转入基金申购费补差＝</w:t>
      </w:r>
      <w:r>
        <w:rPr>
          <w:rFonts w:ascii="宋体" w:hAnsi="宋体"/>
          <w:szCs w:val="21"/>
        </w:rPr>
        <w:t>[转入总金额－转入总金额/(1+转入基金申购</w:t>
      </w:r>
      <w:r>
        <w:rPr>
          <w:rFonts w:hint="eastAsia" w:ascii="宋体" w:hAnsi="宋体"/>
          <w:szCs w:val="21"/>
        </w:rPr>
        <w:t>费率</w:t>
      </w:r>
      <w:r>
        <w:rPr>
          <w:rFonts w:ascii="宋体" w:hAnsi="宋体"/>
          <w:szCs w:val="21"/>
        </w:rPr>
        <w:t>)]—[转入总金额－转入总金额/(1+转出基金申购费率)]</w:t>
      </w:r>
    </w:p>
    <w:p w14:paraId="161015C1">
      <w:pPr>
        <w:spacing w:line="360" w:lineRule="auto"/>
        <w:ind w:firstLine="420" w:firstLineChars="200"/>
        <w:jc w:val="both"/>
        <w:rPr>
          <w:rFonts w:ascii="宋体" w:hAnsi="宋体"/>
          <w:szCs w:val="21"/>
        </w:rPr>
      </w:pPr>
      <w:r>
        <w:rPr>
          <w:rFonts w:hint="eastAsia" w:ascii="宋体" w:hAnsi="宋体"/>
          <w:szCs w:val="21"/>
        </w:rPr>
        <w:t>转入净金额＝转入总金额－转入基金申购费补差</w:t>
      </w:r>
    </w:p>
    <w:p w14:paraId="021F5845">
      <w:pPr>
        <w:spacing w:line="360" w:lineRule="auto"/>
        <w:ind w:firstLine="420" w:firstLineChars="200"/>
        <w:jc w:val="both"/>
        <w:rPr>
          <w:rFonts w:ascii="宋体" w:hAnsi="宋体"/>
          <w:szCs w:val="21"/>
        </w:rPr>
      </w:pPr>
      <w:r>
        <w:rPr>
          <w:rFonts w:hint="eastAsia" w:ascii="宋体" w:hAnsi="宋体"/>
          <w:szCs w:val="21"/>
        </w:rPr>
        <w:t>转入份额＝转入净金额</w:t>
      </w:r>
      <w:r>
        <w:rPr>
          <w:rFonts w:ascii="宋体" w:hAnsi="宋体"/>
          <w:szCs w:val="21"/>
        </w:rPr>
        <w:t>/转入基金当日基金份额净值</w:t>
      </w:r>
    </w:p>
    <w:p w14:paraId="078A09AA">
      <w:pPr>
        <w:spacing w:line="360" w:lineRule="auto"/>
        <w:ind w:firstLine="420" w:firstLineChars="200"/>
        <w:jc w:val="both"/>
        <w:rPr>
          <w:rFonts w:ascii="宋体" w:hAnsi="宋体"/>
          <w:szCs w:val="21"/>
        </w:rPr>
      </w:pPr>
      <w:r>
        <w:rPr>
          <w:rFonts w:hint="eastAsia" w:ascii="宋体" w:hAnsi="宋体"/>
          <w:szCs w:val="21"/>
        </w:rPr>
        <w:t>基金转换费＝转出基金赎回费＋转入基金申购费补差</w:t>
      </w:r>
    </w:p>
    <w:p w14:paraId="55A173E2">
      <w:pPr>
        <w:spacing w:line="360" w:lineRule="auto"/>
        <w:ind w:firstLine="420" w:firstLineChars="200"/>
        <w:jc w:val="both"/>
        <w:rPr>
          <w:rFonts w:ascii="宋体" w:hAnsi="宋体"/>
          <w:szCs w:val="21"/>
        </w:rPr>
      </w:pPr>
      <w:r>
        <w:rPr>
          <w:rFonts w:hint="eastAsia" w:ascii="宋体" w:hAnsi="宋体"/>
          <w:szCs w:val="21"/>
        </w:rPr>
        <w:t>（</w:t>
      </w:r>
      <w:r>
        <w:rPr>
          <w:rFonts w:ascii="宋体" w:hAnsi="宋体"/>
          <w:szCs w:val="21"/>
        </w:rPr>
        <w:t>2）如转出基金的申购费率≥转入基金的申购费率</w:t>
      </w:r>
    </w:p>
    <w:p w14:paraId="2DE78D9E">
      <w:pPr>
        <w:spacing w:line="360" w:lineRule="auto"/>
        <w:ind w:firstLine="420" w:firstLineChars="200"/>
        <w:jc w:val="both"/>
        <w:rPr>
          <w:rFonts w:ascii="宋体" w:hAnsi="宋体"/>
          <w:szCs w:val="21"/>
        </w:rPr>
      </w:pPr>
      <w:r>
        <w:rPr>
          <w:rFonts w:hint="eastAsia" w:ascii="宋体" w:hAnsi="宋体"/>
          <w:szCs w:val="21"/>
        </w:rPr>
        <w:t>基金转换费用＝转出金额×转出基金赎回费率</w:t>
      </w:r>
    </w:p>
    <w:p w14:paraId="2730BFDD">
      <w:pPr>
        <w:spacing w:line="360" w:lineRule="auto"/>
        <w:ind w:firstLine="420" w:firstLineChars="200"/>
        <w:jc w:val="both"/>
        <w:rPr>
          <w:rFonts w:ascii="宋体" w:hAnsi="宋体"/>
          <w:szCs w:val="21"/>
        </w:rPr>
      </w:pPr>
      <w:r>
        <w:rPr>
          <w:rFonts w:ascii="宋体" w:hAnsi="宋体"/>
          <w:szCs w:val="21"/>
        </w:rPr>
        <w:t>3.1.2．计算基金转换费用所涉及的申购费率和赎回费率均按基金合同</w:t>
      </w:r>
      <w:r>
        <w:rPr>
          <w:rFonts w:hint="eastAsia" w:ascii="宋体" w:hAnsi="宋体"/>
          <w:szCs w:val="21"/>
        </w:rPr>
        <w:t>（更新）</w:t>
      </w:r>
      <w:r>
        <w:rPr>
          <w:rFonts w:ascii="宋体" w:hAnsi="宋体"/>
          <w:szCs w:val="21"/>
        </w:rPr>
        <w:t>、招募说明书（更新）规定费率执行，对于通过本公司网上交易、费率优惠活动期间发生的基金转换业务，按照本公司最新公告的相关费率计算基金转换费用。</w:t>
      </w:r>
    </w:p>
    <w:p w14:paraId="143D567B">
      <w:pPr>
        <w:spacing w:line="360" w:lineRule="auto"/>
        <w:ind w:firstLine="482" w:firstLineChars="200"/>
        <w:jc w:val="left"/>
        <w:rPr>
          <w:rFonts w:ascii="宋体" w:hAnsi="宋体"/>
          <w:b/>
          <w:bCs/>
          <w:sz w:val="24"/>
          <w:szCs w:val="24"/>
        </w:rPr>
      </w:pPr>
      <w:r>
        <w:rPr>
          <w:rFonts w:hint="eastAsia" w:ascii="宋体" w:hAnsi="宋体"/>
          <w:b/>
          <w:bCs/>
          <w:sz w:val="24"/>
          <w:szCs w:val="24"/>
        </w:rPr>
        <w:t>3</w:t>
      </w:r>
      <w:r>
        <w:rPr>
          <w:rFonts w:ascii="宋体" w:hAnsi="宋体"/>
          <w:b/>
          <w:bCs/>
          <w:sz w:val="24"/>
          <w:szCs w:val="24"/>
        </w:rPr>
        <w:t>.2</w:t>
      </w:r>
      <w:r>
        <w:rPr>
          <w:rFonts w:hint="eastAsia" w:ascii="宋体" w:hAnsi="宋体"/>
          <w:b/>
          <w:bCs/>
          <w:sz w:val="24"/>
          <w:szCs w:val="24"/>
        </w:rPr>
        <w:t>其他与转换相关的事项</w:t>
      </w:r>
    </w:p>
    <w:p w14:paraId="102B7451">
      <w:pPr>
        <w:spacing w:line="360" w:lineRule="auto"/>
        <w:ind w:firstLine="420" w:firstLineChars="200"/>
        <w:jc w:val="both"/>
        <w:rPr>
          <w:rFonts w:ascii="宋体" w:hAnsi="宋体"/>
          <w:szCs w:val="21"/>
        </w:rPr>
      </w:pPr>
      <w:bookmarkStart w:id="1" w:name="t_2_5_2824_a1_fm1"/>
      <w:bookmarkEnd w:id="1"/>
      <w:r>
        <w:rPr>
          <w:rFonts w:ascii="宋体" w:hAnsi="宋体"/>
          <w:szCs w:val="21"/>
        </w:rPr>
        <w:t>3.2.1．</w:t>
      </w:r>
      <w:r>
        <w:rPr>
          <w:rFonts w:hint="eastAsia" w:ascii="宋体" w:hAnsi="宋体"/>
          <w:szCs w:val="21"/>
        </w:rPr>
        <w:t>开展同一基金不同类别基金份额之间转换业务的时间及其他未尽事宜详见各销售机构的相关业务规则和公告。同一基金不同类别基金份额间的转换业务只能在同时销售该基金多种类别基金份额的同一销售机构进行。</w:t>
      </w:r>
    </w:p>
    <w:p w14:paraId="797596A7">
      <w:pPr>
        <w:spacing w:line="360" w:lineRule="auto"/>
        <w:ind w:firstLine="420" w:firstLineChars="200"/>
        <w:jc w:val="both"/>
        <w:rPr>
          <w:rFonts w:ascii="宋体" w:hAnsi="宋体"/>
          <w:szCs w:val="21"/>
        </w:rPr>
      </w:pPr>
      <w:r>
        <w:rPr>
          <w:rFonts w:ascii="宋体" w:hAnsi="宋体"/>
          <w:szCs w:val="21"/>
        </w:rPr>
        <w:t>3.2.2．基金份额持有人办理基金转换业务时，拟转出的基金必须</w:t>
      </w:r>
      <w:r>
        <w:rPr>
          <w:rFonts w:hint="eastAsia" w:ascii="宋体" w:hAnsi="宋体"/>
          <w:szCs w:val="21"/>
        </w:rPr>
        <w:t>处于可赎回状态，拟转入的基金必须处于可申购状态。</w:t>
      </w:r>
    </w:p>
    <w:p w14:paraId="2F216B19">
      <w:pPr>
        <w:spacing w:line="360" w:lineRule="auto"/>
        <w:ind w:firstLine="420" w:firstLineChars="200"/>
        <w:jc w:val="both"/>
        <w:rPr>
          <w:rFonts w:ascii="宋体" w:hAnsi="宋体"/>
          <w:szCs w:val="21"/>
        </w:rPr>
      </w:pPr>
      <w:r>
        <w:rPr>
          <w:rFonts w:ascii="宋体" w:hAnsi="宋体"/>
          <w:szCs w:val="21"/>
        </w:rPr>
        <w:t>3.2.3．基金转换以份额为单位进行申请，份额转出遵循“先进先出”的原则，即：份额注册日期在前的先转换出，份额注册日期在后的后转换出。如果转换申请当日，同时有赎回申请的情况下，则遵循先赎回后转换的处理原则。基金份额持有人可以发起多次基金转换业务，基金转换费用按每笔申请单独计算。</w:t>
      </w:r>
    </w:p>
    <w:p w14:paraId="30165D3F">
      <w:pPr>
        <w:spacing w:line="360" w:lineRule="auto"/>
        <w:ind w:firstLine="420" w:firstLineChars="200"/>
        <w:jc w:val="both"/>
        <w:rPr>
          <w:rFonts w:ascii="宋体" w:hAnsi="宋体"/>
          <w:szCs w:val="21"/>
        </w:rPr>
      </w:pPr>
      <w:r>
        <w:rPr>
          <w:rFonts w:ascii="宋体" w:hAnsi="宋体"/>
          <w:szCs w:val="21"/>
        </w:rPr>
        <w:t>3.2.4．基金转换采取未知价法，即基金的转换价格以转换申请受理当日各转出、转入基金的份额净值为基准进行计算。</w:t>
      </w:r>
    </w:p>
    <w:p w14:paraId="65041872">
      <w:pPr>
        <w:spacing w:line="360" w:lineRule="auto"/>
        <w:ind w:firstLine="420" w:firstLineChars="200"/>
        <w:jc w:val="both"/>
        <w:rPr>
          <w:rFonts w:ascii="宋体" w:hAnsi="宋体"/>
          <w:szCs w:val="21"/>
        </w:rPr>
      </w:pPr>
      <w:r>
        <w:rPr>
          <w:rFonts w:ascii="宋体" w:hAnsi="宋体"/>
          <w:szCs w:val="21"/>
        </w:rPr>
        <w:t>3.2.5．基金转换的最低申请份额为</w:t>
      </w:r>
      <w:r>
        <w:rPr>
          <w:rFonts w:hint="eastAsia" w:ascii="宋体" w:hAnsi="宋体"/>
          <w:szCs w:val="21"/>
        </w:rPr>
        <w:t>1</w:t>
      </w:r>
      <w:r>
        <w:rPr>
          <w:rFonts w:ascii="宋体" w:hAnsi="宋体"/>
          <w:szCs w:val="21"/>
        </w:rPr>
        <w:t>份基金份额，基金份额持有人可将</w:t>
      </w:r>
      <w:r>
        <w:rPr>
          <w:rFonts w:hint="eastAsia" w:ascii="宋体" w:hAnsi="宋体"/>
          <w:szCs w:val="21"/>
        </w:rPr>
        <w:t>其全部或部分基金份额基金转换</w:t>
      </w:r>
      <w:r>
        <w:rPr>
          <w:rFonts w:ascii="宋体" w:hAnsi="宋体"/>
          <w:szCs w:val="21"/>
        </w:rPr>
        <w:t>。</w:t>
      </w:r>
    </w:p>
    <w:p w14:paraId="692AB018">
      <w:pPr>
        <w:spacing w:line="360" w:lineRule="auto"/>
        <w:ind w:firstLine="420" w:firstLineChars="200"/>
        <w:jc w:val="both"/>
        <w:rPr>
          <w:rFonts w:ascii="宋体" w:hAnsi="宋体"/>
          <w:szCs w:val="21"/>
        </w:rPr>
      </w:pPr>
      <w:r>
        <w:rPr>
          <w:rFonts w:ascii="宋体" w:hAnsi="宋体"/>
          <w:szCs w:val="21"/>
        </w:rPr>
        <w:t>3.2.6．基金份额持有人对转入的基金份额持有期自转入日开始计算。转入的基金在赎回或转出时，按照自基金转入确认日起至该部分基金份额赎回或转出确认日止的持有时段所适用的赎回费率计算赎回费。</w:t>
      </w:r>
    </w:p>
    <w:p w14:paraId="25B26B07">
      <w:pPr>
        <w:spacing w:line="360" w:lineRule="auto"/>
        <w:ind w:firstLine="420" w:firstLineChars="200"/>
        <w:jc w:val="both"/>
        <w:rPr>
          <w:rFonts w:ascii="宋体" w:hAnsi="宋体"/>
          <w:szCs w:val="21"/>
        </w:rPr>
      </w:pPr>
      <w:r>
        <w:rPr>
          <w:rFonts w:ascii="宋体" w:hAnsi="宋体"/>
          <w:szCs w:val="21"/>
        </w:rPr>
        <w:t>3.2.7</w:t>
      </w:r>
      <w:bookmarkStart w:id="3" w:name="_GoBack"/>
      <w:r>
        <w:rPr>
          <w:rFonts w:ascii="宋体" w:hAnsi="宋体"/>
          <w:szCs w:val="21"/>
        </w:rPr>
        <w:t>．</w:t>
      </w:r>
      <w:bookmarkEnd w:id="3"/>
      <w:r>
        <w:rPr>
          <w:rFonts w:ascii="宋体" w:hAnsi="宋体"/>
          <w:szCs w:val="21"/>
        </w:rPr>
        <w:t>正常情况下，基金登记机构将在T＋1日对基金份额持有人T日的基金转换业务申请进行有效性确认，办理转出基金的权益扣除以及转入基金的权益登记。在T＋2日后（包括该日）基金份额持有人</w:t>
      </w:r>
      <w:r>
        <w:rPr>
          <w:rFonts w:hint="eastAsia" w:ascii="宋体" w:hAnsi="宋体"/>
          <w:szCs w:val="21"/>
        </w:rPr>
        <w:t>可查询基金转换的成交情况。</w:t>
      </w:r>
    </w:p>
    <w:p w14:paraId="48C0AB02">
      <w:pPr>
        <w:spacing w:line="360" w:lineRule="auto"/>
        <w:ind w:firstLine="420" w:firstLineChars="200"/>
        <w:jc w:val="both"/>
        <w:rPr>
          <w:rFonts w:ascii="宋体" w:hAnsi="宋体"/>
          <w:szCs w:val="21"/>
        </w:rPr>
      </w:pPr>
      <w:r>
        <w:rPr>
          <w:rFonts w:ascii="宋体" w:hAnsi="宋体"/>
          <w:szCs w:val="21"/>
        </w:rPr>
        <w:t>3.2.8．若</w:t>
      </w:r>
      <w:r>
        <w:rPr>
          <w:rFonts w:hint="eastAsia" w:ascii="宋体" w:hAnsi="宋体"/>
          <w:szCs w:val="21"/>
        </w:rPr>
        <w:t>以上</w:t>
      </w:r>
      <w:r>
        <w:rPr>
          <w:rFonts w:ascii="宋体" w:hAnsi="宋体"/>
          <w:szCs w:val="21"/>
        </w:rPr>
        <w:t>基金单个开放日内的基金份额净赎回申请(赎回申请份额总数加上基金转换中转出申请份额总数后扣除申购申请份额总数及基金转换中转入申请份额总数后的余额)超过上一开放日基金总份额的10%，即认为是发生了巨额赎回。发生巨额赎回时，由基金管理人按照基金合同规定的处理程序进行受理。</w:t>
      </w:r>
    </w:p>
    <w:p w14:paraId="226D3FCC">
      <w:pPr>
        <w:spacing w:line="360" w:lineRule="auto"/>
        <w:ind w:firstLine="420" w:firstLineChars="200"/>
        <w:jc w:val="both"/>
        <w:rPr>
          <w:rFonts w:ascii="宋体" w:hAnsi="宋体"/>
          <w:szCs w:val="21"/>
        </w:rPr>
      </w:pPr>
      <w:r>
        <w:rPr>
          <w:rFonts w:ascii="宋体" w:hAnsi="宋体"/>
          <w:szCs w:val="21"/>
        </w:rPr>
        <w:t>3.2.9</w:t>
      </w:r>
      <w:r>
        <w:rPr>
          <w:rFonts w:hint="eastAsia" w:ascii="宋体" w:hAnsi="宋体"/>
          <w:szCs w:val="21"/>
        </w:rPr>
        <w:t>.同一基金不同类别基金份额之间的转换业务与公司已经开通的不同基金之间相互转换业务不产生冲突。</w:t>
      </w:r>
    </w:p>
    <w:p w14:paraId="5435474E">
      <w:pPr>
        <w:spacing w:line="360" w:lineRule="auto"/>
        <w:ind w:firstLine="420" w:firstLineChars="200"/>
        <w:jc w:val="both"/>
        <w:rPr>
          <w:rFonts w:ascii="宋体" w:hAnsi="宋体"/>
          <w:szCs w:val="21"/>
        </w:rPr>
      </w:pPr>
      <w:r>
        <w:rPr>
          <w:rFonts w:ascii="宋体" w:hAnsi="宋体"/>
          <w:szCs w:val="21"/>
        </w:rPr>
        <w:t>3.2.10</w:t>
      </w:r>
      <w:r>
        <w:rPr>
          <w:rFonts w:hint="eastAsia" w:ascii="宋体" w:hAnsi="宋体"/>
          <w:szCs w:val="21"/>
        </w:rPr>
        <w:t>.本公司旗下管理的其他开放式基金将根据具体情况确定是否适用不同类别基金份额之间的转换业务，请投资者以相关公告为准。</w:t>
      </w:r>
    </w:p>
    <w:p w14:paraId="1AFD5F25">
      <w:pPr>
        <w:spacing w:line="360" w:lineRule="auto"/>
        <w:ind w:firstLine="420" w:firstLineChars="200"/>
        <w:jc w:val="left"/>
        <w:rPr>
          <w:rFonts w:ascii="宋体" w:hAnsi="宋体"/>
          <w:szCs w:val="21"/>
        </w:rPr>
      </w:pPr>
    </w:p>
    <w:p w14:paraId="0537BFD3">
      <w:pPr>
        <w:pStyle w:val="7"/>
        <w:snapToGrid w:val="0"/>
        <w:spacing w:before="0" w:beforeAutospacing="0" w:after="0" w:afterAutospacing="0" w:line="360" w:lineRule="auto"/>
        <w:jc w:val="both"/>
        <w:outlineLvl w:val="0"/>
        <w:rPr>
          <w:b/>
          <w:bCs/>
        </w:rPr>
      </w:pPr>
      <w:r>
        <w:rPr>
          <w:rFonts w:hint="eastAsia"/>
          <w:b/>
          <w:bCs/>
        </w:rPr>
        <w:t>四、</w:t>
      </w:r>
      <w:r>
        <w:rPr>
          <w:b/>
          <w:bCs/>
        </w:rPr>
        <w:t>投资者可通过以下途径咨询有关情况</w:t>
      </w:r>
    </w:p>
    <w:p w14:paraId="23F0207C">
      <w:pPr>
        <w:spacing w:line="360" w:lineRule="auto"/>
        <w:ind w:left="399" w:leftChars="190"/>
        <w:jc w:val="left"/>
        <w:rPr>
          <w:rFonts w:ascii="宋体" w:hAnsi="宋体"/>
          <w:szCs w:val="21"/>
        </w:rPr>
      </w:pPr>
      <w:r>
        <w:rPr>
          <w:rFonts w:ascii="宋体" w:hAnsi="宋体"/>
          <w:szCs w:val="21"/>
        </w:rPr>
        <w:t>华商基金管理有限公司</w:t>
      </w:r>
    </w:p>
    <w:p w14:paraId="5B871877">
      <w:pPr>
        <w:spacing w:line="360" w:lineRule="auto"/>
        <w:ind w:left="399" w:leftChars="190"/>
        <w:jc w:val="left"/>
        <w:rPr>
          <w:rFonts w:ascii="宋体" w:hAnsi="宋体"/>
          <w:szCs w:val="21"/>
        </w:rPr>
      </w:pPr>
      <w:r>
        <w:rPr>
          <w:rFonts w:ascii="宋体" w:hAnsi="宋体"/>
          <w:szCs w:val="21"/>
        </w:rPr>
        <w:t>客服电话：400-700-8880；010-58573300</w:t>
      </w:r>
    </w:p>
    <w:p w14:paraId="46C6A9AA">
      <w:pPr>
        <w:spacing w:line="360" w:lineRule="auto"/>
        <w:ind w:left="399" w:leftChars="190"/>
        <w:jc w:val="left"/>
        <w:rPr>
          <w:rFonts w:ascii="宋体" w:hAnsi="宋体"/>
          <w:szCs w:val="21"/>
        </w:rPr>
      </w:pPr>
      <w:r>
        <w:rPr>
          <w:rFonts w:ascii="宋体" w:hAnsi="宋体"/>
          <w:szCs w:val="21"/>
        </w:rPr>
        <w:t>公司网址：</w:t>
      </w:r>
      <w:r>
        <w:fldChar w:fldCharType="begin"/>
      </w:r>
      <w:r>
        <w:instrText xml:space="preserve"> HYPERLINK "http://www.hsfund.com" </w:instrText>
      </w:r>
      <w:r>
        <w:fldChar w:fldCharType="separate"/>
      </w:r>
      <w:r>
        <w:rPr>
          <w:rFonts w:ascii="宋体" w:hAnsi="宋体"/>
          <w:szCs w:val="21"/>
        </w:rPr>
        <w:t>www.hsfund.com</w:t>
      </w:r>
      <w:r>
        <w:rPr>
          <w:rFonts w:ascii="宋体" w:hAnsi="宋体"/>
          <w:szCs w:val="21"/>
        </w:rPr>
        <w:fldChar w:fldCharType="end"/>
      </w:r>
    </w:p>
    <w:p w14:paraId="4E67B872">
      <w:pPr>
        <w:spacing w:line="360" w:lineRule="auto"/>
        <w:ind w:firstLine="420" w:firstLineChars="200"/>
        <w:jc w:val="left"/>
        <w:rPr>
          <w:rFonts w:ascii="宋体" w:hAnsi="宋体"/>
          <w:szCs w:val="21"/>
        </w:rPr>
      </w:pPr>
      <w:r>
        <w:rPr>
          <w:rFonts w:hint="eastAsia" w:ascii="宋体" w:hAnsi="宋体"/>
          <w:szCs w:val="21"/>
        </w:rPr>
        <w:t>客户服务信箱：</w:t>
      </w:r>
      <w:r>
        <w:rPr>
          <w:rFonts w:ascii="宋体" w:hAnsi="宋体"/>
          <w:szCs w:val="21"/>
        </w:rPr>
        <w:t>services@hsfund.com</w:t>
      </w:r>
    </w:p>
    <w:p w14:paraId="7C1BD782">
      <w:pPr>
        <w:spacing w:line="360" w:lineRule="auto"/>
        <w:jc w:val="left"/>
        <w:rPr>
          <w:rFonts w:ascii="宋体" w:hAnsi="宋体"/>
          <w:szCs w:val="21"/>
        </w:rPr>
      </w:pPr>
    </w:p>
    <w:p w14:paraId="53279E38">
      <w:pPr>
        <w:pStyle w:val="7"/>
        <w:snapToGrid w:val="0"/>
        <w:spacing w:before="0" w:beforeAutospacing="0" w:after="0" w:afterAutospacing="0" w:line="360" w:lineRule="auto"/>
        <w:jc w:val="both"/>
        <w:outlineLvl w:val="0"/>
        <w:rPr>
          <w:rFonts w:cs="Times New Roman"/>
          <w:b/>
          <w:bCs/>
          <w:kern w:val="2"/>
        </w:rPr>
      </w:pPr>
      <w:r>
        <w:rPr>
          <w:rFonts w:hint="eastAsia"/>
          <w:b/>
          <w:bCs/>
        </w:rPr>
        <w:t>五、其他需要提示的事项</w:t>
      </w:r>
    </w:p>
    <w:p w14:paraId="31EDBE42">
      <w:pPr>
        <w:spacing w:line="360" w:lineRule="auto"/>
        <w:ind w:firstLine="420" w:firstLineChars="200"/>
        <w:jc w:val="both"/>
        <w:rPr>
          <w:rFonts w:ascii="宋体" w:hAnsi="宋体"/>
          <w:szCs w:val="21"/>
        </w:rPr>
      </w:pPr>
      <w:bookmarkStart w:id="2" w:name="t_2_9_2646_a1_fm1"/>
      <w:bookmarkEnd w:id="2"/>
      <w:r>
        <w:rPr>
          <w:rFonts w:hint="eastAsia" w:ascii="宋体" w:hAnsi="宋体"/>
          <w:szCs w:val="21"/>
        </w:rPr>
        <w:t>本公司若暂停办理此业务，将另行发布相关公告。</w:t>
      </w:r>
    </w:p>
    <w:p w14:paraId="08A8C3BF">
      <w:pPr>
        <w:spacing w:line="360" w:lineRule="auto"/>
        <w:ind w:firstLine="420" w:firstLineChars="200"/>
        <w:jc w:val="both"/>
        <w:rPr>
          <w:rFonts w:ascii="宋体" w:hAnsi="宋体"/>
          <w:szCs w:val="21"/>
        </w:rPr>
      </w:pPr>
      <w:r>
        <w:rPr>
          <w:rFonts w:hint="eastAsia" w:ascii="宋体" w:hAnsi="宋体"/>
          <w:szCs w:val="21"/>
        </w:rPr>
        <w:t>基金管理人不得在基金合同约定之外的日期或者时间办理转换业务。</w:t>
      </w:r>
      <w:r>
        <w:rPr>
          <w:rFonts w:ascii="宋体" w:hAnsi="宋体"/>
          <w:szCs w:val="21"/>
        </w:rPr>
        <w:t>投资者在基金合同约定之外的日期和时间提出转换申请且登记机构确认接受的，其基金份额转换价格为下一开放日该类基金份额转换的价格。</w:t>
      </w:r>
    </w:p>
    <w:p w14:paraId="4D6A1ABA">
      <w:pPr>
        <w:spacing w:line="360" w:lineRule="auto"/>
        <w:ind w:firstLine="420" w:firstLineChars="200"/>
        <w:jc w:val="both"/>
        <w:rPr>
          <w:rFonts w:ascii="宋体" w:hAnsi="宋体"/>
          <w:szCs w:val="21"/>
        </w:rPr>
      </w:pPr>
      <w:r>
        <w:rPr>
          <w:rFonts w:hint="eastAsia" w:ascii="宋体" w:hAnsi="宋体"/>
          <w:szCs w:val="21"/>
        </w:rPr>
        <w:t>销售机构对转换申请的受理并不代表申请一定成功，而仅代表销售机构确实接收到申</w:t>
      </w:r>
      <w:r>
        <w:rPr>
          <w:rFonts w:ascii="宋体" w:hAnsi="宋体"/>
          <w:szCs w:val="21"/>
        </w:rPr>
        <w:t>请。</w:t>
      </w:r>
      <w:r>
        <w:rPr>
          <w:rFonts w:hint="eastAsia" w:ascii="宋体" w:hAnsi="宋体"/>
          <w:szCs w:val="21"/>
        </w:rPr>
        <w:t>转换</w:t>
      </w:r>
      <w:r>
        <w:rPr>
          <w:rFonts w:ascii="宋体" w:hAnsi="宋体"/>
          <w:szCs w:val="21"/>
        </w:rPr>
        <w:t>的确认以登记机构的确认结果为准。对于</w:t>
      </w:r>
      <w:r>
        <w:rPr>
          <w:rFonts w:hint="eastAsia" w:ascii="宋体" w:hAnsi="宋体"/>
          <w:szCs w:val="21"/>
        </w:rPr>
        <w:t>转换</w:t>
      </w:r>
      <w:r>
        <w:rPr>
          <w:rFonts w:ascii="宋体" w:hAnsi="宋体"/>
          <w:szCs w:val="21"/>
        </w:rPr>
        <w:t>申请的确认情况，投资者应及时查询</w:t>
      </w:r>
      <w:r>
        <w:rPr>
          <w:rFonts w:hint="eastAsia" w:ascii="宋体" w:hAnsi="宋体"/>
          <w:szCs w:val="21"/>
        </w:rPr>
        <w:t>并妥善行使合法权利</w:t>
      </w:r>
      <w:r>
        <w:rPr>
          <w:rFonts w:ascii="宋体" w:hAnsi="宋体"/>
          <w:szCs w:val="21"/>
        </w:rPr>
        <w:t>。</w:t>
      </w:r>
    </w:p>
    <w:p w14:paraId="7A902F14">
      <w:pPr>
        <w:spacing w:line="360" w:lineRule="auto"/>
        <w:ind w:firstLine="420" w:firstLineChars="200"/>
        <w:jc w:val="left"/>
        <w:rPr>
          <w:rFonts w:ascii="宋体" w:hAnsi="宋体"/>
          <w:szCs w:val="21"/>
        </w:rPr>
      </w:pPr>
    </w:p>
    <w:p w14:paraId="086B067C">
      <w:pPr>
        <w:spacing w:line="360" w:lineRule="auto"/>
        <w:ind w:firstLine="420" w:firstLineChars="200"/>
        <w:jc w:val="left"/>
        <w:rPr>
          <w:rFonts w:ascii="宋体" w:hAnsi="宋体"/>
          <w:szCs w:val="21"/>
        </w:rPr>
      </w:pPr>
      <w:r>
        <w:rPr>
          <w:rFonts w:hint="eastAsia" w:ascii="宋体" w:hAnsi="宋体"/>
          <w:szCs w:val="21"/>
        </w:rPr>
        <w:t>风险提示</w:t>
      </w:r>
    </w:p>
    <w:p w14:paraId="0CE46C09">
      <w:pPr>
        <w:spacing w:line="360" w:lineRule="auto"/>
        <w:ind w:firstLine="420" w:firstLineChars="200"/>
        <w:jc w:val="both"/>
        <w:rPr>
          <w:rFonts w:ascii="宋体" w:hAnsi="宋体"/>
          <w:szCs w:val="21"/>
        </w:rPr>
      </w:pPr>
      <w:r>
        <w:rPr>
          <w:rFonts w:hint="eastAsia" w:ascii="宋体" w:hAnsi="宋体"/>
          <w:szCs w:val="21"/>
        </w:rPr>
        <w:t>本基金管理人承诺以诚实信用、勤勉尽责的原则管理和运用基金资产，但不保证基金一定盈利，也不保证最低收益。基金的过往业绩及其净值高低并不预示其未来业绩表现，本公司管理的其他基金的业绩并不构成对本基金业绩表现的保证。敬请投资者于投资前认真阅读本基金的基金合同（更新）、招募说明书（更新）和基金产品资料概要（更新）等法律文件。</w:t>
      </w:r>
    </w:p>
    <w:p w14:paraId="3B6CADB0">
      <w:pPr>
        <w:spacing w:line="360" w:lineRule="auto"/>
        <w:ind w:firstLine="420" w:firstLineChars="200"/>
        <w:jc w:val="both"/>
        <w:rPr>
          <w:rFonts w:ascii="宋体" w:hAnsi="宋体"/>
          <w:szCs w:val="21"/>
        </w:rPr>
      </w:pPr>
      <w:r>
        <w:rPr>
          <w:rFonts w:hint="eastAsia" w:ascii="宋体" w:hAnsi="宋体"/>
          <w:szCs w:val="21"/>
        </w:rPr>
        <w:t>投资有风险，选择须谨慎。</w:t>
      </w:r>
    </w:p>
    <w:p w14:paraId="5E2EA164">
      <w:pPr>
        <w:spacing w:line="360" w:lineRule="auto"/>
        <w:ind w:firstLine="420" w:firstLineChars="200"/>
        <w:jc w:val="left"/>
        <w:rPr>
          <w:rFonts w:ascii="宋体" w:hAnsi="宋体"/>
          <w:szCs w:val="21"/>
        </w:rPr>
      </w:pPr>
    </w:p>
    <w:p w14:paraId="110F8029">
      <w:pPr>
        <w:spacing w:line="360" w:lineRule="auto"/>
        <w:jc w:val="right"/>
        <w:rPr>
          <w:rFonts w:ascii="宋体" w:hAnsi="宋体"/>
          <w:sz w:val="24"/>
          <w:szCs w:val="30"/>
        </w:rPr>
      </w:pPr>
      <w:r>
        <w:rPr>
          <w:rFonts w:hint="eastAsia" w:ascii="宋体" w:hAnsi="宋体"/>
          <w:sz w:val="24"/>
          <w:szCs w:val="30"/>
        </w:rPr>
        <w:t>华商基金管理有限公司</w:t>
      </w:r>
    </w:p>
    <w:p w14:paraId="34E86457">
      <w:pPr>
        <w:adjustRightInd w:val="0"/>
        <w:snapToGrid w:val="0"/>
        <w:spacing w:line="360" w:lineRule="auto"/>
        <w:jc w:val="right"/>
        <w:rPr>
          <w:rFonts w:ascii="Arial" w:hAnsi="Arial" w:cs="Arial"/>
          <w:b/>
          <w:sz w:val="24"/>
          <w:szCs w:val="24"/>
        </w:rPr>
      </w:pPr>
      <w:r>
        <w:rPr>
          <w:rFonts w:ascii="宋体" w:hAnsi="宋体"/>
          <w:sz w:val="24"/>
          <w:szCs w:val="30"/>
        </w:rPr>
        <w:t>202</w:t>
      </w:r>
      <w:r>
        <w:rPr>
          <w:rFonts w:hint="eastAsia" w:ascii="宋体" w:hAnsi="宋体"/>
          <w:sz w:val="24"/>
          <w:szCs w:val="30"/>
        </w:rPr>
        <w:t>6</w:t>
      </w:r>
      <w:r>
        <w:rPr>
          <w:rFonts w:ascii="宋体" w:hAnsi="宋体"/>
          <w:sz w:val="24"/>
          <w:szCs w:val="30"/>
        </w:rPr>
        <w:t>年9月2日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E59"/>
    <w:rsid w:val="000F20E5"/>
    <w:rsid w:val="00107C67"/>
    <w:rsid w:val="002F05A0"/>
    <w:rsid w:val="002F2B93"/>
    <w:rsid w:val="006C07BC"/>
    <w:rsid w:val="00724A0E"/>
    <w:rsid w:val="00934A41"/>
    <w:rsid w:val="00C41E59"/>
    <w:rsid w:val="00F915CF"/>
    <w:rsid w:val="23D503CF"/>
    <w:rsid w:val="258402EB"/>
    <w:rsid w:val="31102E48"/>
    <w:rsid w:val="328C16B3"/>
    <w:rsid w:val="33945B94"/>
    <w:rsid w:val="3B8C57C0"/>
    <w:rsid w:val="447D039C"/>
    <w:rsid w:val="4B7818BD"/>
    <w:rsid w:val="532F2348"/>
    <w:rsid w:val="57786B2B"/>
    <w:rsid w:val="5A7D2A4C"/>
    <w:rsid w:val="5AFA409D"/>
    <w:rsid w:val="5FD4310E"/>
    <w:rsid w:val="6F851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6"/>
    <w:qFormat/>
    <w:uiPriority w:val="0"/>
    <w:pPr>
      <w:keepNext/>
      <w:keepLines/>
      <w:spacing w:before="260" w:after="260" w:line="413" w:lineRule="auto"/>
      <w:outlineLvl w:val="1"/>
    </w:pPr>
    <w:rPr>
      <w:rFonts w:ascii="Arial" w:hAnsi="Arial" w:eastAsia="黑体"/>
      <w:b/>
      <w:sz w:val="32"/>
      <w:szCs w:val="20"/>
      <w:lang w:val="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qFormat/>
    <w:uiPriority w:val="99"/>
    <w:pPr>
      <w:jc w:val="left"/>
    </w:pPr>
  </w:style>
  <w:style w:type="paragraph" w:styleId="4">
    <w:name w:val="Balloon Text"/>
    <w:basedOn w:val="1"/>
    <w:link w:val="17"/>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9"/>
    <w:qFormat/>
    <w:uiPriority w:val="99"/>
    <w:rPr>
      <w:b/>
      <w:bCs/>
    </w:rPr>
  </w:style>
  <w:style w:type="character" w:styleId="11">
    <w:name w:val="annotation reference"/>
    <w:basedOn w:val="10"/>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2 字符"/>
    <w:basedOn w:val="10"/>
    <w:qFormat/>
    <w:uiPriority w:val="0"/>
    <w:rPr>
      <w:rFonts w:ascii="等线 Light" w:hAnsi="等线 Light" w:eastAsia="等线 Light" w:cs="宋体"/>
      <w:b/>
      <w:bCs/>
      <w:sz w:val="32"/>
      <w:szCs w:val="32"/>
    </w:rPr>
  </w:style>
  <w:style w:type="character" w:customStyle="1" w:styleId="16">
    <w:name w:val="标题 2 Char"/>
    <w:link w:val="2"/>
    <w:qFormat/>
    <w:uiPriority w:val="0"/>
    <w:rPr>
      <w:rFonts w:ascii="Arial" w:hAnsi="Arial" w:eastAsia="黑体" w:cs="Times New Roman"/>
      <w:b/>
      <w:sz w:val="32"/>
      <w:szCs w:val="20"/>
      <w:lang w:val="zh-CN" w:eastAsia="zh-CN"/>
    </w:rPr>
  </w:style>
  <w:style w:type="character" w:customStyle="1" w:styleId="17">
    <w:name w:val="批注框文本 Char"/>
    <w:basedOn w:val="10"/>
    <w:link w:val="4"/>
    <w:qFormat/>
    <w:uiPriority w:val="99"/>
    <w:rPr>
      <w:rFonts w:ascii="Calibri" w:hAnsi="Calibri" w:eastAsia="宋体" w:cs="Times New Roman"/>
      <w:sz w:val="18"/>
      <w:szCs w:val="18"/>
    </w:rPr>
  </w:style>
  <w:style w:type="character" w:customStyle="1" w:styleId="18">
    <w:name w:val="批注文字 Char"/>
    <w:basedOn w:val="10"/>
    <w:link w:val="3"/>
    <w:qFormat/>
    <w:uiPriority w:val="99"/>
    <w:rPr>
      <w:rFonts w:ascii="Calibri" w:hAnsi="Calibri" w:eastAsia="宋体" w:cs="Times New Roman"/>
    </w:rPr>
  </w:style>
  <w:style w:type="character" w:customStyle="1" w:styleId="19">
    <w:name w:val="批注主题 Char"/>
    <w:basedOn w:val="18"/>
    <w:link w:val="8"/>
    <w:qFormat/>
    <w:uiPriority w:val="99"/>
    <w:rPr>
      <w:rFonts w:ascii="Calibri" w:hAnsi="Calibri" w:eastAsia="宋体" w:cs="Times New Roman"/>
      <w:b/>
      <w:bCs/>
    </w:rPr>
  </w:style>
  <w:style w:type="paragraph" w:customStyle="1" w:styleId="20">
    <w:name w:val="修订1"/>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91558-1B92-4E6C-B05B-A90AF8220EE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2066</Words>
  <Characters>2200</Characters>
  <Lines>16</Lines>
  <Paragraphs>4</Paragraphs>
  <TotalTime>23</TotalTime>
  <ScaleCrop>false</ScaleCrop>
  <LinksUpToDate>false</LinksUpToDate>
  <CharactersWithSpaces>2200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2026-09-01T05:47:00Z</dcterms:created>
  <dc:creator>薛秀桔</dc:creator>
  <cp:lastModifiedBy>清鹏</cp:lastModifiedBy>
  <cp:lastPrinted>2026-06-29T09:40:00Z</cp:lastPrinted>
  <dcterms:modified xsi:type="dcterms:W3CDTF">2026-09-01T08:17:25Z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eyJoZGlkIjoiNGYyNzE0OTMxZGZkZmYzNGI5YTNhMjEzMWVhNjYwMzUiLCJ1c2VySWQiOiIyNDMxOTI2MjIifQ==</vt:lpwstr>
  </property>
  <property fmtid="{D5CDD505-2E9C-101B-9397-08002B2CF9AE}" pid="3" name="KSOProductBuildVer">
    <vt:lpwstr>2052-12.1.0.28022</vt:lpwstr>
  </property>
  <property fmtid="{D5CDD505-2E9C-101B-9397-08002B2CF9AE}" pid="4" name="ICV">
    <vt:lpwstr>6aa68377630c42208c54d8605e879c2e_23</vt:lpwstr>
  </property>
</Properties>
</file>