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02746">
      <w:pPr>
        <w:pStyle w:val="18"/>
        <w:jc w:val="center"/>
        <w:rPr>
          <w:rStyle w:val="13"/>
          <w:rFonts w:ascii="Arial" w:hAnsi="Arial" w:cs="Arial" w:eastAsiaTheme="minorEastAsia"/>
          <w:sz w:val="36"/>
          <w:szCs w:val="36"/>
        </w:rPr>
      </w:pPr>
      <w:r>
        <w:rPr>
          <w:rStyle w:val="13"/>
          <w:rFonts w:ascii="Arial" w:hAnsi="Arial" w:cs="Arial" w:eastAsiaTheme="minorEastAsia"/>
          <w:sz w:val="36"/>
          <w:szCs w:val="36"/>
        </w:rPr>
        <w:t>华商基金管理有限公司关于</w:t>
      </w:r>
      <w:r>
        <w:rPr>
          <w:rFonts w:hint="eastAsia" w:ascii="Arial" w:hAnsi="Arial" w:cs="Arial" w:eastAsiaTheme="minorEastAsia"/>
          <w:b/>
          <w:bCs/>
          <w:sz w:val="36"/>
          <w:szCs w:val="36"/>
        </w:rPr>
        <w:t>华商价值发现混合型证券投资基金</w:t>
      </w:r>
      <w:r>
        <w:rPr>
          <w:rFonts w:ascii="Arial" w:hAnsi="Arial" w:cs="Arial" w:eastAsiaTheme="minorEastAsia"/>
          <w:b/>
          <w:bCs/>
          <w:sz w:val="36"/>
          <w:szCs w:val="36"/>
        </w:rPr>
        <w:t>参加天利宝赎回转认购业务</w:t>
      </w:r>
      <w:r>
        <w:rPr>
          <w:rStyle w:val="13"/>
          <w:rFonts w:ascii="Arial" w:hAnsi="Arial" w:cs="Arial" w:eastAsiaTheme="minorEastAsia"/>
          <w:sz w:val="36"/>
          <w:szCs w:val="36"/>
        </w:rPr>
        <w:t>的公告</w:t>
      </w:r>
    </w:p>
    <w:p w14:paraId="0849DCEE">
      <w:pPr>
        <w:pStyle w:val="18"/>
        <w:jc w:val="center"/>
        <w:rPr>
          <w:rFonts w:ascii="Arial" w:hAnsi="Arial" w:cs="Arial" w:eastAsiaTheme="minorEastAsia"/>
          <w:sz w:val="36"/>
          <w:szCs w:val="36"/>
        </w:rPr>
      </w:pPr>
    </w:p>
    <w:p w14:paraId="32FCD31C">
      <w:pPr>
        <w:widowControl/>
        <w:spacing w:line="360" w:lineRule="auto"/>
        <w:ind w:firstLine="480" w:firstLineChars="200"/>
        <w:rPr>
          <w:rFonts w:ascii="Arial" w:hAnsi="Arial" w:cs="Arial"/>
          <w:sz w:val="24"/>
          <w:szCs w:val="28"/>
        </w:rPr>
      </w:pPr>
      <w:r>
        <w:rPr>
          <w:rFonts w:ascii="Arial" w:hAnsi="Arial" w:cs="Arial"/>
          <w:sz w:val="24"/>
          <w:szCs w:val="28"/>
        </w:rPr>
        <w:t>为了更好的满足投资者的理财需求，华商</w:t>
      </w:r>
      <w:bookmarkStart w:id="0" w:name="_GoBack"/>
      <w:bookmarkEnd w:id="0"/>
      <w:r>
        <w:rPr>
          <w:rFonts w:ascii="Arial" w:hAnsi="Arial" w:cs="Arial"/>
          <w:sz w:val="24"/>
          <w:szCs w:val="28"/>
        </w:rPr>
        <w:t>基金管理有限公司(以下简称“本公司”或“本基金管理人”)决定自2026年9月</w:t>
      </w:r>
      <w:r>
        <w:rPr>
          <w:rFonts w:hint="eastAsia" w:ascii="Arial" w:hAnsi="Arial" w:cs="Arial"/>
          <w:sz w:val="24"/>
          <w:szCs w:val="28"/>
        </w:rPr>
        <w:t>3</w:t>
      </w:r>
      <w:r>
        <w:rPr>
          <w:rFonts w:ascii="Arial" w:hAnsi="Arial" w:cs="Arial"/>
          <w:sz w:val="24"/>
          <w:szCs w:val="28"/>
        </w:rPr>
        <w:t>日至2026年9月16日15时，开通华商价值发现混合型证券投资基金（以下简称“本基金”）使用天利宝赎回转认购业务，现将有关事项公告如下：</w:t>
      </w:r>
    </w:p>
    <w:p w14:paraId="4375D95B">
      <w:pPr>
        <w:pStyle w:val="21"/>
        <w:numPr>
          <w:ilvl w:val="0"/>
          <w:numId w:val="1"/>
        </w:numPr>
        <w:spacing w:line="360" w:lineRule="auto"/>
        <w:ind w:left="0" w:firstLine="482" w:firstLineChars="200"/>
        <w:rPr>
          <w:rFonts w:ascii="Arial" w:hAnsi="Arial" w:cs="Arial" w:eastAsiaTheme="minorEastAsia"/>
          <w:b/>
          <w:bCs/>
          <w:sz w:val="24"/>
          <w:szCs w:val="28"/>
        </w:rPr>
      </w:pPr>
      <w:r>
        <w:rPr>
          <w:rFonts w:ascii="Arial" w:hAnsi="Arial" w:cs="Arial" w:eastAsiaTheme="minorEastAsia"/>
          <w:b/>
          <w:bCs/>
          <w:sz w:val="24"/>
          <w:szCs w:val="28"/>
        </w:rPr>
        <w:t>适用范围</w:t>
      </w:r>
    </w:p>
    <w:p w14:paraId="57423D1A">
      <w:pPr>
        <w:spacing w:line="360" w:lineRule="auto"/>
        <w:ind w:firstLine="480" w:firstLineChars="200"/>
        <w:rPr>
          <w:rFonts w:ascii="Arial" w:hAnsi="Arial" w:cs="Arial"/>
          <w:sz w:val="24"/>
          <w:szCs w:val="28"/>
        </w:rPr>
      </w:pPr>
      <w:r>
        <w:rPr>
          <w:rFonts w:ascii="Arial" w:hAnsi="Arial" w:cs="Arial"/>
          <w:sz w:val="24"/>
          <w:szCs w:val="28"/>
        </w:rPr>
        <w:t>1、适用基金</w:t>
      </w:r>
    </w:p>
    <w:p w14:paraId="1CA9ED7B">
      <w:pPr>
        <w:widowControl/>
        <w:spacing w:line="360" w:lineRule="auto"/>
        <w:ind w:firstLine="480" w:firstLineChars="200"/>
        <w:rPr>
          <w:rFonts w:ascii="Arial" w:hAnsi="Arial" w:cs="Arial"/>
          <w:sz w:val="24"/>
          <w:szCs w:val="28"/>
        </w:rPr>
      </w:pPr>
      <w:r>
        <w:rPr>
          <w:rFonts w:ascii="Arial" w:hAnsi="Arial" w:cs="Arial"/>
          <w:sz w:val="24"/>
          <w:szCs w:val="28"/>
        </w:rPr>
        <w:t>“天利宝赎回转认购”是指，投资者通过本公司网上直销系统认购本公司处于募集期的基金时使用天利宝进行支付，提交认购申请后相当于提交了天利宝的赎回业务申请，并约定将该笔赎回资金直接用于认购处于募集期的证券投资基金。</w:t>
      </w:r>
    </w:p>
    <w:p w14:paraId="729A9535">
      <w:pPr>
        <w:spacing w:line="360" w:lineRule="auto"/>
        <w:ind w:firstLine="480" w:firstLineChars="200"/>
        <w:rPr>
          <w:rFonts w:ascii="Arial" w:hAnsi="Arial" w:cs="Arial"/>
          <w:sz w:val="24"/>
          <w:szCs w:val="28"/>
        </w:rPr>
      </w:pPr>
      <w:r>
        <w:rPr>
          <w:rFonts w:ascii="Arial" w:hAnsi="Arial" w:cs="Arial"/>
          <w:sz w:val="24"/>
          <w:szCs w:val="28"/>
        </w:rPr>
        <w:t>本次“天利宝赎回转认购”业务仅适用于赎回华商现金增利货币市场基金A类基金份额（基金代码：630012）转认购本公司旗下</w:t>
      </w:r>
      <w:r>
        <w:rPr>
          <w:rFonts w:hint="eastAsia" w:ascii="Arial" w:hAnsi="Arial" w:cs="Arial"/>
          <w:sz w:val="24"/>
          <w:szCs w:val="28"/>
        </w:rPr>
        <w:t>华商价值发现混合型证券投资基金</w:t>
      </w:r>
      <w:r>
        <w:rPr>
          <w:rFonts w:ascii="Arial" w:hAnsi="Arial" w:cs="Arial"/>
          <w:sz w:val="24"/>
          <w:szCs w:val="28"/>
        </w:rPr>
        <w:t>（基金代码</w:t>
      </w:r>
      <w:r>
        <w:rPr>
          <w:rFonts w:ascii="Arial" w:hAnsi="Arial" w:cs="Arial"/>
          <w:color w:val="1E1E1E"/>
          <w:kern w:val="0"/>
          <w:sz w:val="24"/>
          <w:szCs w:val="24"/>
          <w:shd w:val="clear" w:color="auto" w:fill="FFFFFF"/>
        </w:rPr>
        <w:t>：027561</w:t>
      </w:r>
      <w:r>
        <w:rPr>
          <w:rFonts w:ascii="Arial" w:hAnsi="Arial" w:cs="Arial"/>
          <w:sz w:val="24"/>
          <w:szCs w:val="28"/>
        </w:rPr>
        <w:t>）。</w:t>
      </w:r>
    </w:p>
    <w:p w14:paraId="04764540">
      <w:pPr>
        <w:spacing w:line="360" w:lineRule="auto"/>
        <w:ind w:firstLine="480" w:firstLineChars="200"/>
        <w:rPr>
          <w:rFonts w:ascii="Arial" w:hAnsi="Arial" w:cs="Arial"/>
          <w:sz w:val="24"/>
          <w:szCs w:val="28"/>
        </w:rPr>
      </w:pPr>
      <w:r>
        <w:rPr>
          <w:rFonts w:ascii="Arial" w:hAnsi="Arial" w:cs="Arial"/>
          <w:sz w:val="24"/>
          <w:szCs w:val="28"/>
        </w:rPr>
        <w:t>2、适用对象及渠道</w:t>
      </w:r>
    </w:p>
    <w:p w14:paraId="2F85E4AD">
      <w:pPr>
        <w:spacing w:line="360" w:lineRule="auto"/>
        <w:ind w:firstLine="480" w:firstLineChars="200"/>
        <w:rPr>
          <w:rFonts w:ascii="Arial" w:hAnsi="Arial" w:cs="Arial"/>
          <w:sz w:val="24"/>
          <w:szCs w:val="28"/>
        </w:rPr>
      </w:pPr>
      <w:r>
        <w:rPr>
          <w:rFonts w:ascii="Arial" w:hAnsi="Arial" w:cs="Arial"/>
          <w:sz w:val="24"/>
          <w:szCs w:val="28"/>
        </w:rPr>
        <w:t>本次</w:t>
      </w:r>
      <w:r>
        <w:rPr>
          <w:rFonts w:hint="eastAsia" w:ascii="Arial" w:hAnsi="Arial" w:cs="Arial"/>
          <w:sz w:val="24"/>
          <w:szCs w:val="28"/>
        </w:rPr>
        <w:t>“赎回转认购”业务</w:t>
      </w:r>
      <w:r>
        <w:rPr>
          <w:rFonts w:ascii="Arial" w:hAnsi="Arial" w:cs="Arial"/>
          <w:sz w:val="24"/>
          <w:szCs w:val="28"/>
        </w:rPr>
        <w:t>仅对个人投资者通过本公司网上直销系统使用天利宝办理本基金的认购申请有效。</w:t>
      </w:r>
    </w:p>
    <w:p w14:paraId="4A3F8C08">
      <w:pPr>
        <w:spacing w:line="360" w:lineRule="auto"/>
        <w:ind w:firstLine="480" w:firstLineChars="200"/>
        <w:rPr>
          <w:rFonts w:ascii="Arial" w:hAnsi="Arial" w:cs="Arial"/>
          <w:sz w:val="24"/>
          <w:szCs w:val="28"/>
        </w:rPr>
      </w:pPr>
      <w:r>
        <w:rPr>
          <w:rFonts w:ascii="Arial" w:hAnsi="Arial" w:cs="Arial"/>
          <w:sz w:val="24"/>
          <w:szCs w:val="28"/>
        </w:rPr>
        <w:t>3、</w:t>
      </w:r>
      <w:r>
        <w:rPr>
          <w:rFonts w:hint="eastAsia" w:ascii="Arial" w:hAnsi="Arial" w:cs="Arial"/>
          <w:sz w:val="24"/>
          <w:szCs w:val="28"/>
        </w:rPr>
        <w:t>业务适用</w:t>
      </w:r>
      <w:r>
        <w:rPr>
          <w:rFonts w:ascii="Arial" w:hAnsi="Arial" w:cs="Arial"/>
          <w:sz w:val="24"/>
          <w:szCs w:val="28"/>
        </w:rPr>
        <w:t>期间</w:t>
      </w:r>
    </w:p>
    <w:p w14:paraId="4AFB6060">
      <w:pPr>
        <w:spacing w:line="360" w:lineRule="auto"/>
        <w:ind w:firstLine="480" w:firstLineChars="200"/>
        <w:rPr>
          <w:rFonts w:ascii="Arial" w:hAnsi="Arial" w:cs="Arial"/>
          <w:sz w:val="24"/>
          <w:szCs w:val="28"/>
        </w:rPr>
      </w:pPr>
      <w:r>
        <w:rPr>
          <w:rFonts w:ascii="Arial" w:hAnsi="Arial" w:cs="Arial"/>
          <w:sz w:val="24"/>
          <w:szCs w:val="28"/>
        </w:rPr>
        <w:t>2026年9月3日至2026年9月</w:t>
      </w:r>
      <w:r>
        <w:rPr>
          <w:rFonts w:hint="eastAsia" w:ascii="Arial" w:hAnsi="Arial" w:cs="Arial"/>
          <w:sz w:val="24"/>
          <w:szCs w:val="28"/>
        </w:rPr>
        <w:t>1</w:t>
      </w:r>
      <w:r>
        <w:rPr>
          <w:rFonts w:ascii="Arial" w:hAnsi="Arial" w:cs="Arial"/>
          <w:sz w:val="24"/>
          <w:szCs w:val="28"/>
        </w:rPr>
        <w:t>6日15时。</w:t>
      </w:r>
    </w:p>
    <w:p w14:paraId="1E2080A0">
      <w:pPr>
        <w:pStyle w:val="21"/>
        <w:numPr>
          <w:ilvl w:val="0"/>
          <w:numId w:val="1"/>
        </w:numPr>
        <w:spacing w:line="360" w:lineRule="auto"/>
        <w:ind w:left="0" w:firstLine="482" w:firstLineChars="200"/>
        <w:rPr>
          <w:rFonts w:ascii="Arial" w:hAnsi="Arial" w:cs="Arial" w:eastAsiaTheme="minorEastAsia"/>
          <w:b/>
          <w:bCs/>
          <w:sz w:val="24"/>
          <w:szCs w:val="28"/>
        </w:rPr>
      </w:pPr>
      <w:r>
        <w:rPr>
          <w:rFonts w:ascii="Arial" w:hAnsi="Arial" w:cs="Arial" w:eastAsiaTheme="minorEastAsia"/>
          <w:b/>
          <w:bCs/>
          <w:sz w:val="24"/>
          <w:szCs w:val="28"/>
        </w:rPr>
        <w:t>重要提示</w:t>
      </w:r>
    </w:p>
    <w:p w14:paraId="4EC8D673">
      <w:pPr>
        <w:spacing w:line="360" w:lineRule="auto"/>
        <w:ind w:firstLine="480" w:firstLineChars="200"/>
        <w:rPr>
          <w:rFonts w:ascii="Arial" w:hAnsi="Arial" w:cs="Arial"/>
          <w:sz w:val="24"/>
          <w:szCs w:val="24"/>
        </w:rPr>
      </w:pPr>
      <w:r>
        <w:rPr>
          <w:rFonts w:ascii="Arial" w:hAnsi="Arial" w:cs="Arial"/>
          <w:sz w:val="24"/>
          <w:szCs w:val="24"/>
        </w:rPr>
        <w:t>1、使用天利宝在本公司网上直销系统进行认购的时间截止至</w:t>
      </w:r>
      <w:r>
        <w:rPr>
          <w:rFonts w:ascii="Arial" w:hAnsi="Arial" w:cs="Arial"/>
          <w:kern w:val="0"/>
          <w:sz w:val="24"/>
          <w:szCs w:val="28"/>
        </w:rPr>
        <w:t>2026年</w:t>
      </w:r>
      <w:r>
        <w:rPr>
          <w:rFonts w:hint="eastAsia" w:ascii="Arial" w:hAnsi="Arial" w:cs="Arial"/>
          <w:kern w:val="0"/>
          <w:sz w:val="24"/>
          <w:szCs w:val="28"/>
        </w:rPr>
        <w:t>9</w:t>
      </w:r>
      <w:r>
        <w:rPr>
          <w:rFonts w:ascii="Arial" w:hAnsi="Arial" w:cs="Arial"/>
          <w:kern w:val="0"/>
          <w:sz w:val="24"/>
          <w:szCs w:val="28"/>
        </w:rPr>
        <w:t>月16日</w:t>
      </w:r>
      <w:r>
        <w:rPr>
          <w:rFonts w:ascii="Arial" w:hAnsi="Arial" w:cs="Arial"/>
          <w:sz w:val="24"/>
          <w:szCs w:val="24"/>
        </w:rPr>
        <w:t>15时，</w:t>
      </w:r>
      <w:r>
        <w:rPr>
          <w:rFonts w:ascii="Arial" w:hAnsi="Arial" w:cs="Arial"/>
          <w:kern w:val="0"/>
          <w:sz w:val="24"/>
          <w:szCs w:val="24"/>
          <w:shd w:val="clear" w:color="auto" w:fill="FFFFFF"/>
        </w:rPr>
        <w:t>本公司也可根据基金销售情况在募集期限内适当延长或缩短基金发售时间，并及时公告。本公告适用于本基金整体募集期，如募集期内适当延长或缩短基金发售时间，</w:t>
      </w:r>
      <w:r>
        <w:rPr>
          <w:rFonts w:ascii="Arial" w:hAnsi="Arial" w:cs="Arial"/>
          <w:sz w:val="24"/>
          <w:szCs w:val="24"/>
        </w:rPr>
        <w:t>个人投资者</w:t>
      </w:r>
      <w:r>
        <w:rPr>
          <w:rFonts w:ascii="Arial" w:hAnsi="Arial" w:cs="Arial"/>
          <w:kern w:val="0"/>
          <w:sz w:val="24"/>
          <w:szCs w:val="24"/>
          <w:shd w:val="clear" w:color="auto" w:fill="FFFFFF"/>
        </w:rPr>
        <w:t>使用</w:t>
      </w:r>
      <w:r>
        <w:rPr>
          <w:rFonts w:hint="eastAsia" w:ascii="Arial" w:hAnsi="Arial" w:cs="Arial"/>
          <w:kern w:val="0"/>
          <w:sz w:val="24"/>
          <w:szCs w:val="24"/>
          <w:shd w:val="clear" w:color="auto" w:fill="FFFFFF"/>
        </w:rPr>
        <w:t>“</w:t>
      </w:r>
      <w:r>
        <w:rPr>
          <w:rFonts w:ascii="Arial" w:hAnsi="Arial" w:cs="Arial"/>
          <w:kern w:val="0"/>
          <w:sz w:val="24"/>
          <w:szCs w:val="24"/>
        </w:rPr>
        <w:t>天利宝</w:t>
      </w:r>
      <w:r>
        <w:rPr>
          <w:rFonts w:hint="eastAsia" w:ascii="Arial" w:hAnsi="Arial" w:cs="Arial"/>
          <w:kern w:val="0"/>
          <w:sz w:val="24"/>
          <w:szCs w:val="24"/>
        </w:rPr>
        <w:t>赎回转认购”业务</w:t>
      </w:r>
      <w:r>
        <w:rPr>
          <w:rFonts w:ascii="Arial" w:hAnsi="Arial" w:cs="Arial"/>
          <w:kern w:val="0"/>
          <w:sz w:val="24"/>
          <w:szCs w:val="24"/>
        </w:rPr>
        <w:t>在本公司网上直销系统进行</w:t>
      </w:r>
      <w:r>
        <w:rPr>
          <w:rFonts w:hint="eastAsia" w:ascii="Arial" w:hAnsi="Arial" w:cs="Arial"/>
          <w:kern w:val="0"/>
          <w:sz w:val="24"/>
          <w:szCs w:val="24"/>
        </w:rPr>
        <w:t>转</w:t>
      </w:r>
      <w:r>
        <w:rPr>
          <w:rFonts w:ascii="Arial" w:hAnsi="Arial" w:cs="Arial"/>
          <w:kern w:val="0"/>
          <w:sz w:val="24"/>
          <w:szCs w:val="24"/>
        </w:rPr>
        <w:t>认购本基金的时间截止至募集期最后一日的15时且</w:t>
      </w:r>
      <w:r>
        <w:rPr>
          <w:rFonts w:ascii="Arial" w:hAnsi="Arial" w:cs="Arial"/>
          <w:kern w:val="0"/>
          <w:sz w:val="24"/>
          <w:szCs w:val="24"/>
          <w:shd w:val="clear" w:color="auto" w:fill="FFFFFF"/>
        </w:rPr>
        <w:t>不再另行公告。</w:t>
      </w:r>
    </w:p>
    <w:p w14:paraId="5B8D3582">
      <w:pPr>
        <w:spacing w:line="360" w:lineRule="auto"/>
        <w:ind w:firstLine="480" w:firstLineChars="200"/>
        <w:rPr>
          <w:rFonts w:ascii="Arial" w:hAnsi="Arial" w:cs="Arial"/>
          <w:sz w:val="24"/>
          <w:szCs w:val="24"/>
        </w:rPr>
      </w:pPr>
      <w:r>
        <w:rPr>
          <w:rFonts w:ascii="Arial" w:hAnsi="Arial" w:cs="Arial"/>
          <w:sz w:val="24"/>
          <w:szCs w:val="24"/>
        </w:rPr>
        <w:t>2、具体详细规则请参照本公司20</w:t>
      </w:r>
      <w:r>
        <w:rPr>
          <w:rFonts w:hint="eastAsia" w:ascii="Arial" w:hAnsi="Arial" w:cs="Arial"/>
          <w:sz w:val="24"/>
          <w:szCs w:val="24"/>
        </w:rPr>
        <w:t>2</w:t>
      </w:r>
      <w:r>
        <w:rPr>
          <w:rFonts w:ascii="Arial" w:hAnsi="Arial" w:cs="Arial"/>
          <w:sz w:val="24"/>
          <w:szCs w:val="24"/>
        </w:rPr>
        <w:t>6年</w:t>
      </w:r>
      <w:r>
        <w:rPr>
          <w:rFonts w:hint="eastAsia" w:ascii="Arial" w:hAnsi="Arial" w:cs="Arial"/>
          <w:sz w:val="24"/>
          <w:szCs w:val="24"/>
        </w:rPr>
        <w:t>7</w:t>
      </w:r>
      <w:r>
        <w:rPr>
          <w:rFonts w:ascii="Arial" w:hAnsi="Arial" w:cs="Arial"/>
          <w:sz w:val="24"/>
          <w:szCs w:val="24"/>
        </w:rPr>
        <w:t>月</w:t>
      </w:r>
      <w:r>
        <w:rPr>
          <w:rFonts w:hint="eastAsia" w:ascii="Arial" w:hAnsi="Arial" w:cs="Arial"/>
          <w:sz w:val="24"/>
          <w:szCs w:val="24"/>
        </w:rPr>
        <w:t>17</w:t>
      </w:r>
      <w:r>
        <w:rPr>
          <w:rFonts w:ascii="Arial" w:hAnsi="Arial" w:cs="Arial"/>
          <w:sz w:val="24"/>
          <w:szCs w:val="24"/>
        </w:rPr>
        <w:t>日</w:t>
      </w:r>
      <w:r>
        <w:rPr>
          <w:rFonts w:hint="eastAsia" w:ascii="Arial" w:hAnsi="Arial" w:cs="Arial"/>
          <w:sz w:val="24"/>
          <w:szCs w:val="24"/>
        </w:rPr>
        <w:t>在官网公示</w:t>
      </w:r>
      <w:r>
        <w:rPr>
          <w:rFonts w:ascii="Arial" w:hAnsi="Arial" w:cs="Arial"/>
          <w:sz w:val="24"/>
          <w:szCs w:val="24"/>
        </w:rPr>
        <w:t>的《华商基金管理有限公司天利宝赎回转认购业务规则》</w:t>
      </w:r>
      <w:r>
        <w:rPr>
          <w:rFonts w:ascii="Arial" w:hAnsi="Arial" w:cs="Arial"/>
          <w:kern w:val="0"/>
          <w:sz w:val="24"/>
          <w:szCs w:val="24"/>
          <w:shd w:val="clear" w:color="auto" w:fill="FFFFFF"/>
        </w:rPr>
        <w:t>。</w:t>
      </w:r>
    </w:p>
    <w:p w14:paraId="6DD48813">
      <w:pPr>
        <w:spacing w:line="360" w:lineRule="auto"/>
        <w:ind w:firstLine="480" w:firstLineChars="200"/>
        <w:rPr>
          <w:rFonts w:ascii="Arial" w:hAnsi="Arial" w:cs="Arial"/>
          <w:sz w:val="24"/>
          <w:szCs w:val="24"/>
        </w:rPr>
      </w:pPr>
      <w:r>
        <w:rPr>
          <w:rFonts w:ascii="Arial" w:hAnsi="Arial" w:cs="Arial"/>
          <w:sz w:val="24"/>
          <w:szCs w:val="24"/>
        </w:rPr>
        <w:t>3、投资者投资本基金前，请仔细阅读本基金相关法律文件。</w:t>
      </w:r>
    </w:p>
    <w:p w14:paraId="535C1B11">
      <w:pPr>
        <w:pStyle w:val="21"/>
        <w:numPr>
          <w:ilvl w:val="0"/>
          <w:numId w:val="1"/>
        </w:numPr>
        <w:spacing w:line="360" w:lineRule="auto"/>
        <w:ind w:left="0" w:firstLine="482" w:firstLineChars="200"/>
        <w:rPr>
          <w:rFonts w:ascii="Arial" w:hAnsi="Arial" w:cs="Arial" w:eastAsiaTheme="minorEastAsia"/>
          <w:b/>
          <w:bCs/>
          <w:sz w:val="24"/>
          <w:szCs w:val="28"/>
        </w:rPr>
      </w:pPr>
      <w:r>
        <w:rPr>
          <w:rFonts w:ascii="Arial" w:hAnsi="Arial" w:cs="Arial" w:eastAsiaTheme="minorEastAsia"/>
          <w:b/>
          <w:bCs/>
          <w:sz w:val="24"/>
          <w:szCs w:val="28"/>
        </w:rPr>
        <w:t>投资者可通过以下途径咨询有关情况</w:t>
      </w:r>
    </w:p>
    <w:p w14:paraId="27266493">
      <w:pPr>
        <w:spacing w:line="360" w:lineRule="auto"/>
        <w:ind w:firstLine="480" w:firstLineChars="200"/>
        <w:rPr>
          <w:rFonts w:ascii="Arial" w:hAnsi="Arial" w:cs="Arial"/>
          <w:sz w:val="24"/>
          <w:szCs w:val="24"/>
        </w:rPr>
      </w:pPr>
      <w:r>
        <w:rPr>
          <w:rFonts w:ascii="Arial" w:hAnsi="Arial" w:cs="Arial"/>
          <w:sz w:val="24"/>
          <w:szCs w:val="24"/>
        </w:rPr>
        <w:t xml:space="preserve">投资者可通过本公司客服电话和网站咨询相关情况： </w:t>
      </w:r>
    </w:p>
    <w:p w14:paraId="3059DE20">
      <w:pPr>
        <w:spacing w:line="360" w:lineRule="auto"/>
        <w:ind w:firstLine="480" w:firstLineChars="200"/>
        <w:rPr>
          <w:rFonts w:ascii="Arial" w:hAnsi="Arial" w:cs="Arial"/>
          <w:sz w:val="24"/>
          <w:szCs w:val="24"/>
        </w:rPr>
      </w:pPr>
      <w:r>
        <w:rPr>
          <w:rFonts w:ascii="Arial" w:hAnsi="Arial" w:cs="Arial"/>
          <w:sz w:val="24"/>
          <w:szCs w:val="24"/>
        </w:rPr>
        <w:t>客服电话：400-700-8880；010-58573300</w:t>
      </w:r>
    </w:p>
    <w:p w14:paraId="66B620A7">
      <w:pPr>
        <w:spacing w:line="360" w:lineRule="auto"/>
        <w:ind w:firstLine="480" w:firstLineChars="200"/>
        <w:rPr>
          <w:rFonts w:ascii="Arial" w:hAnsi="Arial" w:cs="Arial"/>
        </w:rPr>
      </w:pPr>
      <w:r>
        <w:rPr>
          <w:rFonts w:ascii="Arial" w:hAnsi="Arial" w:cs="Arial"/>
          <w:sz w:val="24"/>
          <w:szCs w:val="24"/>
        </w:rPr>
        <w:t>公司网址：</w:t>
      </w:r>
      <w:r>
        <w:fldChar w:fldCharType="begin"/>
      </w:r>
      <w:r>
        <w:instrText xml:space="preserve"> HYPERLINK "http://www.hsfund.com" </w:instrText>
      </w:r>
      <w:r>
        <w:fldChar w:fldCharType="separate"/>
      </w:r>
      <w:r>
        <w:rPr>
          <w:rStyle w:val="14"/>
          <w:rFonts w:ascii="Arial" w:hAnsi="Arial" w:cs="Arial"/>
          <w:sz w:val="24"/>
          <w:szCs w:val="24"/>
        </w:rPr>
        <w:t>www.hsfund.com</w:t>
      </w:r>
      <w:r>
        <w:rPr>
          <w:rStyle w:val="14"/>
          <w:rFonts w:ascii="Arial" w:hAnsi="Arial" w:cs="Arial"/>
          <w:sz w:val="24"/>
          <w:szCs w:val="24"/>
        </w:rPr>
        <w:fldChar w:fldCharType="end"/>
      </w:r>
    </w:p>
    <w:p w14:paraId="6FB4A679">
      <w:pPr>
        <w:pStyle w:val="21"/>
        <w:numPr>
          <w:ilvl w:val="0"/>
          <w:numId w:val="1"/>
        </w:numPr>
        <w:spacing w:line="360" w:lineRule="auto"/>
        <w:ind w:left="0" w:firstLine="482" w:firstLineChars="200"/>
        <w:rPr>
          <w:rFonts w:ascii="Arial" w:hAnsi="Arial" w:cs="Arial" w:eastAsiaTheme="minorEastAsia"/>
          <w:b/>
          <w:bCs/>
          <w:sz w:val="24"/>
          <w:szCs w:val="28"/>
        </w:rPr>
      </w:pPr>
      <w:r>
        <w:rPr>
          <w:rFonts w:ascii="Arial" w:hAnsi="Arial" w:cs="Arial" w:eastAsiaTheme="minorEastAsia"/>
          <w:b/>
          <w:bCs/>
          <w:sz w:val="24"/>
          <w:szCs w:val="28"/>
        </w:rPr>
        <w:t>风险提示</w:t>
      </w:r>
    </w:p>
    <w:p w14:paraId="58D5D98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购买货币市场基金并不等于将资金作为存款存放在银行或者存款类金融机构。本基金管理人承诺以诚实信用、勤勉尽责的原则管理和运用基金资产，但不保证基金一定盈利，也不保证最低收益。投资者在投资各基金前，请务必考虑自己的风险承受能力，在控制风险的前提下实现投资收益。</w:t>
      </w:r>
    </w:p>
    <w:p w14:paraId="00818DE4">
      <w:pPr>
        <w:autoSpaceDE w:val="0"/>
        <w:autoSpaceDN w:val="0"/>
        <w:adjustRightInd w:val="0"/>
        <w:spacing w:line="360" w:lineRule="auto"/>
        <w:ind w:firstLine="480" w:firstLineChars="200"/>
        <w:rPr>
          <w:rFonts w:ascii="宋体" w:hAnsi="宋体" w:eastAsia="宋体" w:cs="宋体"/>
          <w:bCs/>
          <w:sz w:val="24"/>
          <w:highlight w:val="yellow"/>
        </w:rPr>
      </w:pPr>
      <w:r>
        <w:rPr>
          <w:rFonts w:hint="eastAsia" w:ascii="宋体" w:hAnsi="宋体" w:eastAsia="宋体" w:cs="宋体"/>
          <w:bCs/>
          <w:sz w:val="24"/>
        </w:rPr>
        <w:t>本基金为混合型基金，其预期收益和风险高于货币市场基金和债券型基金。</w:t>
      </w:r>
    </w:p>
    <w:p w14:paraId="1ED58A75">
      <w:pPr>
        <w:autoSpaceDE w:val="0"/>
        <w:autoSpaceDN w:val="0"/>
        <w:adjustRightInd w:val="0"/>
        <w:spacing w:line="360" w:lineRule="auto"/>
        <w:ind w:firstLine="480" w:firstLineChars="200"/>
        <w:rPr>
          <w:rFonts w:ascii="宋体" w:hAnsi="宋体" w:eastAsia="宋体" w:cs="宋体"/>
          <w:sz w:val="24"/>
        </w:rPr>
      </w:pPr>
      <w:r>
        <w:rPr>
          <w:rFonts w:hint="eastAsia" w:ascii="宋体" w:hAnsi="宋体" w:eastAsia="宋体" w:cs="宋体"/>
          <w:bCs/>
          <w:sz w:val="24"/>
        </w:rPr>
        <w:t>本基金除了投资A股以外，还可以根据法律法规规定投资港股通标的股票。本基金若投资港股通标的股票，将面临港股通机制下因投资环境、投资标的、市场制度以及交易规则等差异带来的特有风险</w:t>
      </w:r>
      <w:r>
        <w:rPr>
          <w:rFonts w:hint="eastAsia" w:ascii="宋体" w:hAnsi="宋体" w:eastAsia="宋体" w:cs="宋体"/>
          <w:color w:val="000000"/>
          <w:kern w:val="0"/>
          <w:sz w:val="24"/>
        </w:rPr>
        <w:t>。</w:t>
      </w:r>
      <w:r>
        <w:rPr>
          <w:rFonts w:hint="eastAsia" w:ascii="宋体" w:hAnsi="宋体" w:eastAsia="宋体" w:cs="宋体"/>
          <w:bCs/>
          <w:sz w:val="24"/>
        </w:rPr>
        <w:t>本基金可根据投资策略需要或不同配置地市场环境的变化，选择将部分基金资产投资于港股或选择不将基金资产投资于港股，基金资产并非必然投资港股。</w:t>
      </w:r>
    </w:p>
    <w:p w14:paraId="18C45042">
      <w:pPr>
        <w:spacing w:line="360" w:lineRule="auto"/>
        <w:ind w:firstLine="482" w:firstLineChars="200"/>
        <w:rPr>
          <w:rFonts w:ascii="宋体" w:hAnsi="宋体" w:eastAsia="宋体" w:cs="宋体"/>
          <w:b/>
          <w:bCs/>
          <w:sz w:val="24"/>
        </w:rPr>
      </w:pPr>
      <w:r>
        <w:rPr>
          <w:rFonts w:hint="eastAsia" w:ascii="宋体" w:hAnsi="宋体" w:eastAsia="宋体" w:cs="宋体"/>
          <w:b/>
          <w:bCs/>
          <w:sz w:val="24"/>
        </w:rPr>
        <w:t>本基金的管理费由固定管理费、或有管理费和超额管理费组成，其中或有管理费和超额管理费取决于每笔基金份额的持有时长和持有期间年化收益率水平（详见基金合同“第十五部分 基金费用与税收”），因此投资者在认/申购本基金时无法预先确定本基金的整体管理费水平。</w:t>
      </w:r>
    </w:p>
    <w:p w14:paraId="3EF3D45D">
      <w:pPr>
        <w:spacing w:line="360" w:lineRule="auto"/>
        <w:ind w:firstLine="482" w:firstLineChars="200"/>
        <w:rPr>
          <w:rFonts w:ascii="宋体" w:hAnsi="宋体" w:eastAsia="宋体" w:cs="宋体"/>
          <w:b/>
          <w:bCs/>
          <w:sz w:val="24"/>
        </w:rPr>
      </w:pPr>
      <w:r>
        <w:rPr>
          <w:rFonts w:hint="eastAsia" w:ascii="宋体" w:hAnsi="宋体" w:eastAsia="宋体" w:cs="宋体"/>
          <w:b/>
          <w:bCs/>
          <w:sz w:val="24"/>
        </w:rPr>
        <w:t>由于本基金在计算基金份额净值时，按前一日基金资产净值的1.20%年费率计算管理费，该费率可能高于或低于不同投资者最终适用的管理费率。在基金份额赎回、转出或基金合同终止清算时，投资者实际收到的赎回或清算款项的金额可能与按披露的基金份额净值计算的结果存在差异，投资者的实际赎回金额和清算资金请以登记机构确认数据为准。</w:t>
      </w:r>
    </w:p>
    <w:p w14:paraId="51012C95">
      <w:pPr>
        <w:spacing w:line="360" w:lineRule="auto"/>
        <w:ind w:firstLine="482" w:firstLineChars="200"/>
        <w:rPr>
          <w:rFonts w:ascii="宋体" w:hAnsi="宋体" w:eastAsia="宋体" w:cs="宋体"/>
          <w:bCs/>
          <w:sz w:val="24"/>
        </w:rPr>
      </w:pPr>
      <w:r>
        <w:rPr>
          <w:rFonts w:hint="eastAsia" w:ascii="宋体" w:hAnsi="宋体" w:eastAsia="宋体" w:cs="宋体"/>
          <w:b/>
          <w:bCs/>
          <w:sz w:val="24"/>
        </w:rPr>
        <w:t>本基金采用浮动管理费的收费模式，不代表基金管理人对基金收益的保证。</w:t>
      </w:r>
    </w:p>
    <w:p w14:paraId="4E522E0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投资者使用天利宝支付进行基金份额认购的，视为同意《华商基金管理有限公司天利宝赎回转认购业务规则》。</w:t>
      </w:r>
    </w:p>
    <w:p w14:paraId="616F453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资者通过本公司网上直销系统开展基金交易业务的，应认真阅读网上直销业务的相关协议和业务规则，了解网上直销业务的固有风险，妥善保管账号、密码等信息，审慎开通网上直销业务。投资有风险，选择须谨慎。</w:t>
      </w:r>
    </w:p>
    <w:p w14:paraId="32FCA75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特此公告。</w:t>
      </w:r>
    </w:p>
    <w:p w14:paraId="1EC672A3">
      <w:pPr>
        <w:widowControl/>
        <w:spacing w:line="360" w:lineRule="auto"/>
        <w:ind w:firstLine="3600" w:firstLineChars="1500"/>
        <w:rPr>
          <w:rFonts w:ascii="Arial" w:hAnsi="Arial" w:cs="Arial"/>
          <w:sz w:val="24"/>
          <w:szCs w:val="24"/>
        </w:rPr>
      </w:pPr>
    </w:p>
    <w:p w14:paraId="082F6C47">
      <w:pPr>
        <w:widowControl/>
        <w:spacing w:line="360" w:lineRule="auto"/>
        <w:ind w:firstLine="3600" w:firstLineChars="1500"/>
        <w:rPr>
          <w:rFonts w:ascii="Arial" w:hAnsi="Arial" w:cs="Arial"/>
          <w:sz w:val="24"/>
          <w:szCs w:val="24"/>
        </w:rPr>
      </w:pPr>
    </w:p>
    <w:p w14:paraId="505BCFAA">
      <w:pPr>
        <w:widowControl/>
        <w:spacing w:line="360" w:lineRule="auto"/>
        <w:ind w:firstLine="4800" w:firstLineChars="2000"/>
        <w:rPr>
          <w:rFonts w:ascii="Arial" w:hAnsi="Arial" w:cs="Arial"/>
          <w:sz w:val="24"/>
          <w:szCs w:val="24"/>
        </w:rPr>
      </w:pPr>
      <w:r>
        <w:rPr>
          <w:rFonts w:ascii="Arial" w:hAnsi="Arial" w:cs="Arial"/>
          <w:sz w:val="24"/>
          <w:szCs w:val="24"/>
        </w:rPr>
        <w:t>华商基金管理有限公司</w:t>
      </w:r>
    </w:p>
    <w:p w14:paraId="654019EA">
      <w:pPr>
        <w:widowControl/>
        <w:spacing w:line="360" w:lineRule="auto"/>
        <w:ind w:firstLine="5040" w:firstLineChars="2100"/>
        <w:rPr>
          <w:rFonts w:ascii="Arial" w:hAnsi="Arial" w:cs="Arial"/>
          <w:sz w:val="24"/>
          <w:szCs w:val="24"/>
        </w:rPr>
      </w:pPr>
      <w:r>
        <w:rPr>
          <w:rFonts w:ascii="Arial" w:hAnsi="Arial" w:cs="Arial"/>
          <w:sz w:val="24"/>
          <w:szCs w:val="24"/>
        </w:rPr>
        <w:t>2026年9月3日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1E06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3DB9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243DB9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C320BE"/>
    <w:multiLevelType w:val="multilevel"/>
    <w:tmpl w:val="36C320BE"/>
    <w:lvl w:ilvl="0" w:tentative="0">
      <w:start w:val="1"/>
      <w:numFmt w:val="japaneseCounting"/>
      <w:lvlText w:val="%1、"/>
      <w:lvlJc w:val="left"/>
      <w:pPr>
        <w:ind w:left="704" w:hanging="420"/>
      </w:pPr>
      <w:rPr>
        <w:b/>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C1"/>
    <w:rsid w:val="0000084E"/>
    <w:rsid w:val="00000B3A"/>
    <w:rsid w:val="000117E9"/>
    <w:rsid w:val="0002232F"/>
    <w:rsid w:val="0002413D"/>
    <w:rsid w:val="00025B2E"/>
    <w:rsid w:val="00027203"/>
    <w:rsid w:val="00031B85"/>
    <w:rsid w:val="00045CE1"/>
    <w:rsid w:val="00047F2F"/>
    <w:rsid w:val="000511D8"/>
    <w:rsid w:val="00053151"/>
    <w:rsid w:val="00054230"/>
    <w:rsid w:val="000548BC"/>
    <w:rsid w:val="00056A2A"/>
    <w:rsid w:val="00060B3E"/>
    <w:rsid w:val="00067B0F"/>
    <w:rsid w:val="00070561"/>
    <w:rsid w:val="000736AC"/>
    <w:rsid w:val="00073F83"/>
    <w:rsid w:val="0007725B"/>
    <w:rsid w:val="00085053"/>
    <w:rsid w:val="000915CA"/>
    <w:rsid w:val="0009510B"/>
    <w:rsid w:val="00097ECA"/>
    <w:rsid w:val="000A0D82"/>
    <w:rsid w:val="000A6FAD"/>
    <w:rsid w:val="000B6D6D"/>
    <w:rsid w:val="000C68BC"/>
    <w:rsid w:val="000D23F2"/>
    <w:rsid w:val="000D5CD5"/>
    <w:rsid w:val="000E011B"/>
    <w:rsid w:val="000E1DDD"/>
    <w:rsid w:val="000E3B57"/>
    <w:rsid w:val="000F3B70"/>
    <w:rsid w:val="000F4E12"/>
    <w:rsid w:val="000F62AC"/>
    <w:rsid w:val="0010163B"/>
    <w:rsid w:val="001057E7"/>
    <w:rsid w:val="001116D9"/>
    <w:rsid w:val="00114723"/>
    <w:rsid w:val="00120D45"/>
    <w:rsid w:val="00122D41"/>
    <w:rsid w:val="001377E4"/>
    <w:rsid w:val="00142FA0"/>
    <w:rsid w:val="00144504"/>
    <w:rsid w:val="00145291"/>
    <w:rsid w:val="001514CC"/>
    <w:rsid w:val="00153818"/>
    <w:rsid w:val="00160185"/>
    <w:rsid w:val="0016259F"/>
    <w:rsid w:val="0017270E"/>
    <w:rsid w:val="001754AB"/>
    <w:rsid w:val="001811D4"/>
    <w:rsid w:val="00181545"/>
    <w:rsid w:val="0018718B"/>
    <w:rsid w:val="00190B70"/>
    <w:rsid w:val="00191DF1"/>
    <w:rsid w:val="00193B8E"/>
    <w:rsid w:val="0019506D"/>
    <w:rsid w:val="0019650E"/>
    <w:rsid w:val="001A2794"/>
    <w:rsid w:val="001A2F64"/>
    <w:rsid w:val="001A42C4"/>
    <w:rsid w:val="001A655E"/>
    <w:rsid w:val="001A7AAC"/>
    <w:rsid w:val="001B063C"/>
    <w:rsid w:val="001B0BCB"/>
    <w:rsid w:val="001B0D16"/>
    <w:rsid w:val="001D33DA"/>
    <w:rsid w:val="001E29A1"/>
    <w:rsid w:val="001E5FE5"/>
    <w:rsid w:val="001E636D"/>
    <w:rsid w:val="001E67F0"/>
    <w:rsid w:val="001E6F08"/>
    <w:rsid w:val="001F28A8"/>
    <w:rsid w:val="001F3F35"/>
    <w:rsid w:val="00200ABC"/>
    <w:rsid w:val="00203E23"/>
    <w:rsid w:val="002059EB"/>
    <w:rsid w:val="00206E9B"/>
    <w:rsid w:val="0021038D"/>
    <w:rsid w:val="002108F5"/>
    <w:rsid w:val="00214FE2"/>
    <w:rsid w:val="0021711E"/>
    <w:rsid w:val="00221FF8"/>
    <w:rsid w:val="00224D64"/>
    <w:rsid w:val="002317C1"/>
    <w:rsid w:val="00234E75"/>
    <w:rsid w:val="00236E52"/>
    <w:rsid w:val="00244040"/>
    <w:rsid w:val="00246B3B"/>
    <w:rsid w:val="002475C5"/>
    <w:rsid w:val="00250593"/>
    <w:rsid w:val="00253050"/>
    <w:rsid w:val="00254A17"/>
    <w:rsid w:val="00255467"/>
    <w:rsid w:val="00257290"/>
    <w:rsid w:val="0026204E"/>
    <w:rsid w:val="002622BC"/>
    <w:rsid w:val="00274914"/>
    <w:rsid w:val="00274D3B"/>
    <w:rsid w:val="002758E6"/>
    <w:rsid w:val="00277FA0"/>
    <w:rsid w:val="002958BA"/>
    <w:rsid w:val="002A07B4"/>
    <w:rsid w:val="002A0DF3"/>
    <w:rsid w:val="002A2FF9"/>
    <w:rsid w:val="002A5CB2"/>
    <w:rsid w:val="002A5FA4"/>
    <w:rsid w:val="002B48E5"/>
    <w:rsid w:val="002C632C"/>
    <w:rsid w:val="002C6E7B"/>
    <w:rsid w:val="002D3B1C"/>
    <w:rsid w:val="002D4E6A"/>
    <w:rsid w:val="002D5B8D"/>
    <w:rsid w:val="002E3A73"/>
    <w:rsid w:val="002E4123"/>
    <w:rsid w:val="002E73B2"/>
    <w:rsid w:val="002F2F1A"/>
    <w:rsid w:val="002F333D"/>
    <w:rsid w:val="002F4C9D"/>
    <w:rsid w:val="00303623"/>
    <w:rsid w:val="003040A9"/>
    <w:rsid w:val="0030690A"/>
    <w:rsid w:val="003150CB"/>
    <w:rsid w:val="00322815"/>
    <w:rsid w:val="003257A2"/>
    <w:rsid w:val="00333A5C"/>
    <w:rsid w:val="00335191"/>
    <w:rsid w:val="00336BEE"/>
    <w:rsid w:val="00340605"/>
    <w:rsid w:val="00342F6B"/>
    <w:rsid w:val="00350EF3"/>
    <w:rsid w:val="00353B3E"/>
    <w:rsid w:val="0037204E"/>
    <w:rsid w:val="00380768"/>
    <w:rsid w:val="00384480"/>
    <w:rsid w:val="00384D95"/>
    <w:rsid w:val="00386045"/>
    <w:rsid w:val="00390C38"/>
    <w:rsid w:val="0039429E"/>
    <w:rsid w:val="003944B8"/>
    <w:rsid w:val="0039709A"/>
    <w:rsid w:val="0039796E"/>
    <w:rsid w:val="003A7D78"/>
    <w:rsid w:val="003B032A"/>
    <w:rsid w:val="003B0F2D"/>
    <w:rsid w:val="003B1D64"/>
    <w:rsid w:val="003B2BCC"/>
    <w:rsid w:val="003C43E1"/>
    <w:rsid w:val="003C7B93"/>
    <w:rsid w:val="003D55A1"/>
    <w:rsid w:val="003D600A"/>
    <w:rsid w:val="003E7047"/>
    <w:rsid w:val="003F3520"/>
    <w:rsid w:val="003F476E"/>
    <w:rsid w:val="003F486B"/>
    <w:rsid w:val="003F77CF"/>
    <w:rsid w:val="00400021"/>
    <w:rsid w:val="00400F31"/>
    <w:rsid w:val="00415486"/>
    <w:rsid w:val="00415B7A"/>
    <w:rsid w:val="00416072"/>
    <w:rsid w:val="004213F0"/>
    <w:rsid w:val="00424D08"/>
    <w:rsid w:val="00424E68"/>
    <w:rsid w:val="00433A02"/>
    <w:rsid w:val="00437063"/>
    <w:rsid w:val="004372A3"/>
    <w:rsid w:val="00440533"/>
    <w:rsid w:val="00443BD5"/>
    <w:rsid w:val="004505A7"/>
    <w:rsid w:val="004570E1"/>
    <w:rsid w:val="00460AB1"/>
    <w:rsid w:val="00462311"/>
    <w:rsid w:val="00464A9E"/>
    <w:rsid w:val="004673CF"/>
    <w:rsid w:val="00467648"/>
    <w:rsid w:val="00467683"/>
    <w:rsid w:val="00471EAF"/>
    <w:rsid w:val="00472DBC"/>
    <w:rsid w:val="004736FC"/>
    <w:rsid w:val="00474056"/>
    <w:rsid w:val="00480861"/>
    <w:rsid w:val="0048738E"/>
    <w:rsid w:val="00491D77"/>
    <w:rsid w:val="00496585"/>
    <w:rsid w:val="00496D61"/>
    <w:rsid w:val="004A00B2"/>
    <w:rsid w:val="004A02B6"/>
    <w:rsid w:val="004A0E7B"/>
    <w:rsid w:val="004A4AFA"/>
    <w:rsid w:val="004B0231"/>
    <w:rsid w:val="004B02BF"/>
    <w:rsid w:val="004B08BE"/>
    <w:rsid w:val="004B1C4E"/>
    <w:rsid w:val="004B43FB"/>
    <w:rsid w:val="004B6A84"/>
    <w:rsid w:val="004C33F5"/>
    <w:rsid w:val="004C5653"/>
    <w:rsid w:val="004C6E32"/>
    <w:rsid w:val="004C713F"/>
    <w:rsid w:val="004D270C"/>
    <w:rsid w:val="004D2BA1"/>
    <w:rsid w:val="004E5C8A"/>
    <w:rsid w:val="004E5CBF"/>
    <w:rsid w:val="004F1CD2"/>
    <w:rsid w:val="004F7232"/>
    <w:rsid w:val="005034F0"/>
    <w:rsid w:val="005038D2"/>
    <w:rsid w:val="00506FED"/>
    <w:rsid w:val="00520E7C"/>
    <w:rsid w:val="005246CB"/>
    <w:rsid w:val="0052504C"/>
    <w:rsid w:val="00527861"/>
    <w:rsid w:val="005316F8"/>
    <w:rsid w:val="00533066"/>
    <w:rsid w:val="005366E1"/>
    <w:rsid w:val="00536E47"/>
    <w:rsid w:val="00540597"/>
    <w:rsid w:val="00543E57"/>
    <w:rsid w:val="00546C75"/>
    <w:rsid w:val="005508BD"/>
    <w:rsid w:val="00550F9F"/>
    <w:rsid w:val="00552BF2"/>
    <w:rsid w:val="00560373"/>
    <w:rsid w:val="005667B7"/>
    <w:rsid w:val="005724BC"/>
    <w:rsid w:val="005728EB"/>
    <w:rsid w:val="005729B0"/>
    <w:rsid w:val="005744D1"/>
    <w:rsid w:val="005811D0"/>
    <w:rsid w:val="00582A49"/>
    <w:rsid w:val="00582E5B"/>
    <w:rsid w:val="00583E38"/>
    <w:rsid w:val="00585801"/>
    <w:rsid w:val="00591018"/>
    <w:rsid w:val="005919CF"/>
    <w:rsid w:val="00594CCA"/>
    <w:rsid w:val="005971F7"/>
    <w:rsid w:val="005A00D1"/>
    <w:rsid w:val="005A0558"/>
    <w:rsid w:val="005A64AF"/>
    <w:rsid w:val="005A75C6"/>
    <w:rsid w:val="005B010D"/>
    <w:rsid w:val="005B12FE"/>
    <w:rsid w:val="005B4065"/>
    <w:rsid w:val="005B701D"/>
    <w:rsid w:val="005C259C"/>
    <w:rsid w:val="005C76E1"/>
    <w:rsid w:val="005D1041"/>
    <w:rsid w:val="005D23DC"/>
    <w:rsid w:val="005E55FB"/>
    <w:rsid w:val="005F0C2C"/>
    <w:rsid w:val="005F0C7B"/>
    <w:rsid w:val="005F2174"/>
    <w:rsid w:val="005F579D"/>
    <w:rsid w:val="005F6AAC"/>
    <w:rsid w:val="005F7A07"/>
    <w:rsid w:val="00600FC4"/>
    <w:rsid w:val="006103DF"/>
    <w:rsid w:val="00611978"/>
    <w:rsid w:val="00611B6C"/>
    <w:rsid w:val="00616117"/>
    <w:rsid w:val="00622F89"/>
    <w:rsid w:val="00630A4A"/>
    <w:rsid w:val="0063197C"/>
    <w:rsid w:val="00643DE9"/>
    <w:rsid w:val="00651E28"/>
    <w:rsid w:val="00653EE4"/>
    <w:rsid w:val="00657458"/>
    <w:rsid w:val="00661BAE"/>
    <w:rsid w:val="006655FB"/>
    <w:rsid w:val="00670D84"/>
    <w:rsid w:val="00670E93"/>
    <w:rsid w:val="0067523D"/>
    <w:rsid w:val="00675A6C"/>
    <w:rsid w:val="00675DE5"/>
    <w:rsid w:val="00676D70"/>
    <w:rsid w:val="006847DE"/>
    <w:rsid w:val="006878B0"/>
    <w:rsid w:val="0069123F"/>
    <w:rsid w:val="00692AB0"/>
    <w:rsid w:val="006A4EE1"/>
    <w:rsid w:val="006A5067"/>
    <w:rsid w:val="006A5136"/>
    <w:rsid w:val="006B0080"/>
    <w:rsid w:val="006B7B9B"/>
    <w:rsid w:val="006C3FA7"/>
    <w:rsid w:val="006C400D"/>
    <w:rsid w:val="006C78F5"/>
    <w:rsid w:val="006D0090"/>
    <w:rsid w:val="006D3298"/>
    <w:rsid w:val="006E3206"/>
    <w:rsid w:val="006F23BF"/>
    <w:rsid w:val="0070083A"/>
    <w:rsid w:val="007025C3"/>
    <w:rsid w:val="00702E05"/>
    <w:rsid w:val="00705960"/>
    <w:rsid w:val="00707CA9"/>
    <w:rsid w:val="007111C2"/>
    <w:rsid w:val="00713861"/>
    <w:rsid w:val="0072153C"/>
    <w:rsid w:val="00735B9C"/>
    <w:rsid w:val="00741DD6"/>
    <w:rsid w:val="00742289"/>
    <w:rsid w:val="007430A0"/>
    <w:rsid w:val="00746393"/>
    <w:rsid w:val="00747481"/>
    <w:rsid w:val="00753646"/>
    <w:rsid w:val="007537F1"/>
    <w:rsid w:val="00755D5D"/>
    <w:rsid w:val="00762E1F"/>
    <w:rsid w:val="00772BAC"/>
    <w:rsid w:val="007735AC"/>
    <w:rsid w:val="00773D96"/>
    <w:rsid w:val="00776A97"/>
    <w:rsid w:val="007773F0"/>
    <w:rsid w:val="00782F1D"/>
    <w:rsid w:val="0078493E"/>
    <w:rsid w:val="0078524B"/>
    <w:rsid w:val="00790168"/>
    <w:rsid w:val="0079796E"/>
    <w:rsid w:val="007A0E95"/>
    <w:rsid w:val="007A0FAE"/>
    <w:rsid w:val="007A2FEC"/>
    <w:rsid w:val="007B1A3D"/>
    <w:rsid w:val="007C20FA"/>
    <w:rsid w:val="007C5DCB"/>
    <w:rsid w:val="007C67DF"/>
    <w:rsid w:val="007D2D1F"/>
    <w:rsid w:val="007D3B34"/>
    <w:rsid w:val="007D3F80"/>
    <w:rsid w:val="007D4E3F"/>
    <w:rsid w:val="007D53C6"/>
    <w:rsid w:val="007D6523"/>
    <w:rsid w:val="007E0604"/>
    <w:rsid w:val="008018C8"/>
    <w:rsid w:val="00803A39"/>
    <w:rsid w:val="00812EA6"/>
    <w:rsid w:val="00814AF9"/>
    <w:rsid w:val="00815861"/>
    <w:rsid w:val="00815FE2"/>
    <w:rsid w:val="00823B01"/>
    <w:rsid w:val="00826489"/>
    <w:rsid w:val="00827E0D"/>
    <w:rsid w:val="00831E28"/>
    <w:rsid w:val="008322E0"/>
    <w:rsid w:val="008353EF"/>
    <w:rsid w:val="00835A58"/>
    <w:rsid w:val="008571FE"/>
    <w:rsid w:val="00860C3D"/>
    <w:rsid w:val="00860D9E"/>
    <w:rsid w:val="00866D6E"/>
    <w:rsid w:val="00867AAC"/>
    <w:rsid w:val="00870110"/>
    <w:rsid w:val="00872162"/>
    <w:rsid w:val="00875B05"/>
    <w:rsid w:val="00876EC3"/>
    <w:rsid w:val="008813C0"/>
    <w:rsid w:val="008817D4"/>
    <w:rsid w:val="00883FB8"/>
    <w:rsid w:val="00884001"/>
    <w:rsid w:val="0089264B"/>
    <w:rsid w:val="00895066"/>
    <w:rsid w:val="00895DAB"/>
    <w:rsid w:val="00896EB6"/>
    <w:rsid w:val="0089713F"/>
    <w:rsid w:val="0089796D"/>
    <w:rsid w:val="008A2721"/>
    <w:rsid w:val="008A41C0"/>
    <w:rsid w:val="008A7EF1"/>
    <w:rsid w:val="008B193F"/>
    <w:rsid w:val="008B1AB8"/>
    <w:rsid w:val="008C035D"/>
    <w:rsid w:val="008C1F48"/>
    <w:rsid w:val="008C373E"/>
    <w:rsid w:val="008C3777"/>
    <w:rsid w:val="008C3E89"/>
    <w:rsid w:val="008C69BA"/>
    <w:rsid w:val="008D2157"/>
    <w:rsid w:val="008D4E36"/>
    <w:rsid w:val="008E096B"/>
    <w:rsid w:val="008E5236"/>
    <w:rsid w:val="008E5F24"/>
    <w:rsid w:val="008F0AE0"/>
    <w:rsid w:val="008F3F42"/>
    <w:rsid w:val="008F61F7"/>
    <w:rsid w:val="008F7A04"/>
    <w:rsid w:val="00900B7A"/>
    <w:rsid w:val="00902784"/>
    <w:rsid w:val="00902DC1"/>
    <w:rsid w:val="00903E04"/>
    <w:rsid w:val="009043FA"/>
    <w:rsid w:val="0091123D"/>
    <w:rsid w:val="00914A24"/>
    <w:rsid w:val="009211FE"/>
    <w:rsid w:val="00923A33"/>
    <w:rsid w:val="00930BE2"/>
    <w:rsid w:val="009321F1"/>
    <w:rsid w:val="0093235B"/>
    <w:rsid w:val="00933054"/>
    <w:rsid w:val="0093564C"/>
    <w:rsid w:val="00941696"/>
    <w:rsid w:val="00942484"/>
    <w:rsid w:val="00943168"/>
    <w:rsid w:val="0094363E"/>
    <w:rsid w:val="00946227"/>
    <w:rsid w:val="00946DBB"/>
    <w:rsid w:val="009534AF"/>
    <w:rsid w:val="009537F4"/>
    <w:rsid w:val="0096278D"/>
    <w:rsid w:val="00965359"/>
    <w:rsid w:val="00965F48"/>
    <w:rsid w:val="00965F5A"/>
    <w:rsid w:val="00973064"/>
    <w:rsid w:val="009748F9"/>
    <w:rsid w:val="00976B91"/>
    <w:rsid w:val="009775BD"/>
    <w:rsid w:val="009827D4"/>
    <w:rsid w:val="00985181"/>
    <w:rsid w:val="009869DE"/>
    <w:rsid w:val="00990D6A"/>
    <w:rsid w:val="009964F3"/>
    <w:rsid w:val="009A04B0"/>
    <w:rsid w:val="009A0FB5"/>
    <w:rsid w:val="009A11D8"/>
    <w:rsid w:val="009A2F24"/>
    <w:rsid w:val="009A40AC"/>
    <w:rsid w:val="009A695A"/>
    <w:rsid w:val="009B33D3"/>
    <w:rsid w:val="009B4018"/>
    <w:rsid w:val="009C5090"/>
    <w:rsid w:val="009C78D3"/>
    <w:rsid w:val="009D303D"/>
    <w:rsid w:val="009D37B5"/>
    <w:rsid w:val="009D4C35"/>
    <w:rsid w:val="009D6F4E"/>
    <w:rsid w:val="009E0092"/>
    <w:rsid w:val="009E0A6B"/>
    <w:rsid w:val="009E13DB"/>
    <w:rsid w:val="009F098C"/>
    <w:rsid w:val="00A022AA"/>
    <w:rsid w:val="00A045CE"/>
    <w:rsid w:val="00A05BA4"/>
    <w:rsid w:val="00A13840"/>
    <w:rsid w:val="00A147FF"/>
    <w:rsid w:val="00A20642"/>
    <w:rsid w:val="00A20A19"/>
    <w:rsid w:val="00A232E0"/>
    <w:rsid w:val="00A243EC"/>
    <w:rsid w:val="00A303BD"/>
    <w:rsid w:val="00A30913"/>
    <w:rsid w:val="00A3342D"/>
    <w:rsid w:val="00A337FE"/>
    <w:rsid w:val="00A33960"/>
    <w:rsid w:val="00A373D1"/>
    <w:rsid w:val="00A3789A"/>
    <w:rsid w:val="00A409DE"/>
    <w:rsid w:val="00A40BAB"/>
    <w:rsid w:val="00A51C5D"/>
    <w:rsid w:val="00A62066"/>
    <w:rsid w:val="00A650E4"/>
    <w:rsid w:val="00A817D0"/>
    <w:rsid w:val="00A84762"/>
    <w:rsid w:val="00A871BA"/>
    <w:rsid w:val="00A876B5"/>
    <w:rsid w:val="00A93A39"/>
    <w:rsid w:val="00A93F9A"/>
    <w:rsid w:val="00A94B96"/>
    <w:rsid w:val="00A97AE8"/>
    <w:rsid w:val="00AA1A6E"/>
    <w:rsid w:val="00AA3CF6"/>
    <w:rsid w:val="00AA53DF"/>
    <w:rsid w:val="00AA706B"/>
    <w:rsid w:val="00AB1EE8"/>
    <w:rsid w:val="00AB21A9"/>
    <w:rsid w:val="00AB294B"/>
    <w:rsid w:val="00AB2B2E"/>
    <w:rsid w:val="00AB3D94"/>
    <w:rsid w:val="00AB5163"/>
    <w:rsid w:val="00AB5DF5"/>
    <w:rsid w:val="00AB6846"/>
    <w:rsid w:val="00AB6EBC"/>
    <w:rsid w:val="00AD25A2"/>
    <w:rsid w:val="00AD686A"/>
    <w:rsid w:val="00AE1F04"/>
    <w:rsid w:val="00AE449A"/>
    <w:rsid w:val="00AE7B71"/>
    <w:rsid w:val="00AF0A55"/>
    <w:rsid w:val="00AF16B1"/>
    <w:rsid w:val="00AF3A21"/>
    <w:rsid w:val="00B06F7F"/>
    <w:rsid w:val="00B12C65"/>
    <w:rsid w:val="00B14767"/>
    <w:rsid w:val="00B21AD2"/>
    <w:rsid w:val="00B225A9"/>
    <w:rsid w:val="00B234E9"/>
    <w:rsid w:val="00B24001"/>
    <w:rsid w:val="00B24B7F"/>
    <w:rsid w:val="00B33941"/>
    <w:rsid w:val="00B347CF"/>
    <w:rsid w:val="00B41A82"/>
    <w:rsid w:val="00B4211E"/>
    <w:rsid w:val="00B45160"/>
    <w:rsid w:val="00B51DA0"/>
    <w:rsid w:val="00B53050"/>
    <w:rsid w:val="00B57CEE"/>
    <w:rsid w:val="00B62CA9"/>
    <w:rsid w:val="00B62D9A"/>
    <w:rsid w:val="00B64010"/>
    <w:rsid w:val="00B650DD"/>
    <w:rsid w:val="00B67A31"/>
    <w:rsid w:val="00B7198C"/>
    <w:rsid w:val="00B74386"/>
    <w:rsid w:val="00B76B46"/>
    <w:rsid w:val="00B80C54"/>
    <w:rsid w:val="00B827C7"/>
    <w:rsid w:val="00B83695"/>
    <w:rsid w:val="00BA2A5D"/>
    <w:rsid w:val="00BA5484"/>
    <w:rsid w:val="00BB1F8E"/>
    <w:rsid w:val="00BB2413"/>
    <w:rsid w:val="00BB2C1C"/>
    <w:rsid w:val="00BB4383"/>
    <w:rsid w:val="00BC7760"/>
    <w:rsid w:val="00BD15E6"/>
    <w:rsid w:val="00BD74A5"/>
    <w:rsid w:val="00BD7829"/>
    <w:rsid w:val="00BF11D7"/>
    <w:rsid w:val="00BF1858"/>
    <w:rsid w:val="00BF1CBB"/>
    <w:rsid w:val="00BF3AC3"/>
    <w:rsid w:val="00BF455D"/>
    <w:rsid w:val="00C05E69"/>
    <w:rsid w:val="00C220A7"/>
    <w:rsid w:val="00C26CFF"/>
    <w:rsid w:val="00C26DE1"/>
    <w:rsid w:val="00C41C0D"/>
    <w:rsid w:val="00C445FD"/>
    <w:rsid w:val="00C6020D"/>
    <w:rsid w:val="00C6259F"/>
    <w:rsid w:val="00C626F5"/>
    <w:rsid w:val="00C64A87"/>
    <w:rsid w:val="00C73B7D"/>
    <w:rsid w:val="00C7672E"/>
    <w:rsid w:val="00C77180"/>
    <w:rsid w:val="00C773EB"/>
    <w:rsid w:val="00C81208"/>
    <w:rsid w:val="00C82222"/>
    <w:rsid w:val="00C82973"/>
    <w:rsid w:val="00C831AE"/>
    <w:rsid w:val="00C835CD"/>
    <w:rsid w:val="00C843D2"/>
    <w:rsid w:val="00C84FD2"/>
    <w:rsid w:val="00C86A31"/>
    <w:rsid w:val="00C873F4"/>
    <w:rsid w:val="00C917D7"/>
    <w:rsid w:val="00C93496"/>
    <w:rsid w:val="00C9419C"/>
    <w:rsid w:val="00C97DE3"/>
    <w:rsid w:val="00CA0138"/>
    <w:rsid w:val="00CA2A47"/>
    <w:rsid w:val="00CA3FCE"/>
    <w:rsid w:val="00CB099D"/>
    <w:rsid w:val="00CC17FE"/>
    <w:rsid w:val="00CC36B2"/>
    <w:rsid w:val="00CC6037"/>
    <w:rsid w:val="00CD5A50"/>
    <w:rsid w:val="00CD7553"/>
    <w:rsid w:val="00CE1B17"/>
    <w:rsid w:val="00CE21ED"/>
    <w:rsid w:val="00CE51A6"/>
    <w:rsid w:val="00CE7872"/>
    <w:rsid w:val="00CF2BA7"/>
    <w:rsid w:val="00CF6357"/>
    <w:rsid w:val="00D00818"/>
    <w:rsid w:val="00D011AB"/>
    <w:rsid w:val="00D151C8"/>
    <w:rsid w:val="00D202C5"/>
    <w:rsid w:val="00D2085F"/>
    <w:rsid w:val="00D232E3"/>
    <w:rsid w:val="00D25494"/>
    <w:rsid w:val="00D25B08"/>
    <w:rsid w:val="00D42812"/>
    <w:rsid w:val="00D43A2A"/>
    <w:rsid w:val="00D47E02"/>
    <w:rsid w:val="00D505F8"/>
    <w:rsid w:val="00D641F1"/>
    <w:rsid w:val="00D720EE"/>
    <w:rsid w:val="00D76FD6"/>
    <w:rsid w:val="00D77A3A"/>
    <w:rsid w:val="00D80451"/>
    <w:rsid w:val="00D8231E"/>
    <w:rsid w:val="00D832E5"/>
    <w:rsid w:val="00D85367"/>
    <w:rsid w:val="00D94B63"/>
    <w:rsid w:val="00D95D0C"/>
    <w:rsid w:val="00D960B7"/>
    <w:rsid w:val="00DA2351"/>
    <w:rsid w:val="00DA3A05"/>
    <w:rsid w:val="00DB2DC9"/>
    <w:rsid w:val="00DB315F"/>
    <w:rsid w:val="00DB4757"/>
    <w:rsid w:val="00DB6903"/>
    <w:rsid w:val="00DD4741"/>
    <w:rsid w:val="00DD598D"/>
    <w:rsid w:val="00DE335F"/>
    <w:rsid w:val="00DE3A74"/>
    <w:rsid w:val="00DE758E"/>
    <w:rsid w:val="00DF2D38"/>
    <w:rsid w:val="00DF5329"/>
    <w:rsid w:val="00DF5E8A"/>
    <w:rsid w:val="00E046A9"/>
    <w:rsid w:val="00E0659C"/>
    <w:rsid w:val="00E1079B"/>
    <w:rsid w:val="00E11B83"/>
    <w:rsid w:val="00E12117"/>
    <w:rsid w:val="00E15B6B"/>
    <w:rsid w:val="00E21C81"/>
    <w:rsid w:val="00E26CF2"/>
    <w:rsid w:val="00E319F3"/>
    <w:rsid w:val="00E36C63"/>
    <w:rsid w:val="00E435DF"/>
    <w:rsid w:val="00E46C1B"/>
    <w:rsid w:val="00E530C9"/>
    <w:rsid w:val="00E55208"/>
    <w:rsid w:val="00E57932"/>
    <w:rsid w:val="00E57E2F"/>
    <w:rsid w:val="00E605E9"/>
    <w:rsid w:val="00E60AD5"/>
    <w:rsid w:val="00E61241"/>
    <w:rsid w:val="00E70545"/>
    <w:rsid w:val="00E720B7"/>
    <w:rsid w:val="00E807FA"/>
    <w:rsid w:val="00E8498B"/>
    <w:rsid w:val="00E8686C"/>
    <w:rsid w:val="00E92BAA"/>
    <w:rsid w:val="00E95355"/>
    <w:rsid w:val="00E976C0"/>
    <w:rsid w:val="00EA2FEF"/>
    <w:rsid w:val="00EA5EDB"/>
    <w:rsid w:val="00EC115F"/>
    <w:rsid w:val="00EC16EA"/>
    <w:rsid w:val="00EC7936"/>
    <w:rsid w:val="00ED4471"/>
    <w:rsid w:val="00ED4833"/>
    <w:rsid w:val="00ED5E23"/>
    <w:rsid w:val="00EE00F4"/>
    <w:rsid w:val="00EE1467"/>
    <w:rsid w:val="00EE5CA5"/>
    <w:rsid w:val="00EF08C3"/>
    <w:rsid w:val="00EF20DF"/>
    <w:rsid w:val="00EF5161"/>
    <w:rsid w:val="00EF6194"/>
    <w:rsid w:val="00F104D5"/>
    <w:rsid w:val="00F13039"/>
    <w:rsid w:val="00F20FB4"/>
    <w:rsid w:val="00F26D1E"/>
    <w:rsid w:val="00F27088"/>
    <w:rsid w:val="00F33C07"/>
    <w:rsid w:val="00F65024"/>
    <w:rsid w:val="00F72653"/>
    <w:rsid w:val="00F73956"/>
    <w:rsid w:val="00F81C30"/>
    <w:rsid w:val="00F82607"/>
    <w:rsid w:val="00F8284B"/>
    <w:rsid w:val="00F91DB2"/>
    <w:rsid w:val="00F96A8D"/>
    <w:rsid w:val="00FA009E"/>
    <w:rsid w:val="00FA0272"/>
    <w:rsid w:val="00FA241F"/>
    <w:rsid w:val="00FA5874"/>
    <w:rsid w:val="00FA5881"/>
    <w:rsid w:val="00FA7250"/>
    <w:rsid w:val="00FA7E14"/>
    <w:rsid w:val="00FB194C"/>
    <w:rsid w:val="00FB3848"/>
    <w:rsid w:val="00FB556E"/>
    <w:rsid w:val="00FB7F04"/>
    <w:rsid w:val="00FC40E0"/>
    <w:rsid w:val="00FC5231"/>
    <w:rsid w:val="00FC7FAC"/>
    <w:rsid w:val="00FD0487"/>
    <w:rsid w:val="00FD4099"/>
    <w:rsid w:val="00FD41EB"/>
    <w:rsid w:val="00FE2E5B"/>
    <w:rsid w:val="00FE59F7"/>
    <w:rsid w:val="00FE5A2D"/>
    <w:rsid w:val="00FE5F22"/>
    <w:rsid w:val="00FE776E"/>
    <w:rsid w:val="00FF1C5B"/>
    <w:rsid w:val="00FF29D1"/>
    <w:rsid w:val="00FF6C55"/>
    <w:rsid w:val="06BA27AF"/>
    <w:rsid w:val="07F73B6C"/>
    <w:rsid w:val="07F869DE"/>
    <w:rsid w:val="08704E6D"/>
    <w:rsid w:val="0EC57F43"/>
    <w:rsid w:val="15C01464"/>
    <w:rsid w:val="16277C15"/>
    <w:rsid w:val="277B3944"/>
    <w:rsid w:val="33EA6E9F"/>
    <w:rsid w:val="3AF66579"/>
    <w:rsid w:val="3FF95848"/>
    <w:rsid w:val="516516B7"/>
    <w:rsid w:val="53195734"/>
    <w:rsid w:val="58FF53CC"/>
    <w:rsid w:val="5F097BCB"/>
    <w:rsid w:val="6B2F101F"/>
    <w:rsid w:val="7EF57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0"/>
    <w:semiHidden/>
    <w:unhideWhenUsed/>
    <w:qFormat/>
    <w:uiPriority w:val="99"/>
    <w:rPr>
      <w:rFonts w:ascii="宋体" w:eastAsia="宋体"/>
      <w:sz w:val="18"/>
      <w:szCs w:val="18"/>
    </w:rPr>
  </w:style>
  <w:style w:type="paragraph" w:styleId="4">
    <w:name w:val="annotation text"/>
    <w:basedOn w:val="1"/>
    <w:link w:val="23"/>
    <w:unhideWhenUsed/>
    <w:qFormat/>
    <w:uiPriority w:val="99"/>
    <w:pPr>
      <w:jc w:val="left"/>
    </w:pPr>
  </w:style>
  <w:style w:type="paragraph" w:styleId="5">
    <w:name w:val="Plain Text"/>
    <w:basedOn w:val="1"/>
    <w:link w:val="22"/>
    <w:semiHidden/>
    <w:unhideWhenUsed/>
    <w:qFormat/>
    <w:uiPriority w:val="99"/>
    <w:rPr>
      <w:rFonts w:ascii="宋体" w:hAnsi="Courier New" w:eastAsia="宋体" w:cs="Courier New"/>
      <w:szCs w:val="21"/>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4"/>
    <w:semiHidden/>
    <w:unhideWhenUsed/>
    <w:qFormat/>
    <w:uiPriority w:val="99"/>
    <w:rPr>
      <w:b/>
      <w:bCs/>
    </w:rPr>
  </w:style>
  <w:style w:type="character" w:styleId="13">
    <w:name w:val="Strong"/>
    <w:basedOn w:val="12"/>
    <w:qFormat/>
    <w:uiPriority w:val="22"/>
    <w:rPr>
      <w:b/>
      <w:bCs/>
    </w:rPr>
  </w:style>
  <w:style w:type="character" w:styleId="14">
    <w:name w:val="Hyperlink"/>
    <w:basedOn w:val="12"/>
    <w:unhideWhenUsed/>
    <w:qFormat/>
    <w:uiPriority w:val="99"/>
    <w:rPr>
      <w:color w:val="000000"/>
      <w:u w:val="none"/>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paragraph" w:customStyle="1" w:styleId="18">
    <w:name w:val="font14"/>
    <w:basedOn w:val="1"/>
    <w:qFormat/>
    <w:uiPriority w:val="0"/>
    <w:pPr>
      <w:widowControl/>
      <w:spacing w:line="360" w:lineRule="auto"/>
      <w:jc w:val="left"/>
    </w:pPr>
    <w:rPr>
      <w:rFonts w:ascii="宋体" w:hAnsi="宋体" w:eastAsia="宋体" w:cs="宋体"/>
      <w:kern w:val="0"/>
      <w:szCs w:val="21"/>
    </w:rPr>
  </w:style>
  <w:style w:type="character" w:customStyle="1" w:styleId="19">
    <w:name w:val="批注框文本 Char"/>
    <w:basedOn w:val="12"/>
    <w:link w:val="6"/>
    <w:semiHidden/>
    <w:qFormat/>
    <w:uiPriority w:val="99"/>
    <w:rPr>
      <w:sz w:val="18"/>
      <w:szCs w:val="18"/>
    </w:rPr>
  </w:style>
  <w:style w:type="character" w:customStyle="1" w:styleId="20">
    <w:name w:val="文档结构图 Char"/>
    <w:basedOn w:val="12"/>
    <w:link w:val="3"/>
    <w:semiHidden/>
    <w:qFormat/>
    <w:uiPriority w:val="99"/>
    <w:rPr>
      <w:rFonts w:ascii="宋体" w:eastAsia="宋体"/>
      <w:sz w:val="18"/>
      <w:szCs w:val="18"/>
    </w:rPr>
  </w:style>
  <w:style w:type="paragraph" w:styleId="21">
    <w:name w:val="List Paragraph"/>
    <w:basedOn w:val="1"/>
    <w:qFormat/>
    <w:uiPriority w:val="34"/>
    <w:pPr>
      <w:widowControl/>
      <w:ind w:firstLine="420"/>
    </w:pPr>
    <w:rPr>
      <w:rFonts w:ascii="Calibri" w:hAnsi="Calibri" w:eastAsia="宋体" w:cs="宋体"/>
      <w:kern w:val="0"/>
      <w:szCs w:val="21"/>
    </w:rPr>
  </w:style>
  <w:style w:type="character" w:customStyle="1" w:styleId="22">
    <w:name w:val="纯文本 Char"/>
    <w:basedOn w:val="12"/>
    <w:link w:val="5"/>
    <w:semiHidden/>
    <w:qFormat/>
    <w:uiPriority w:val="99"/>
    <w:rPr>
      <w:rFonts w:ascii="宋体" w:hAnsi="Courier New" w:eastAsia="宋体" w:cs="Courier New"/>
      <w:szCs w:val="21"/>
    </w:rPr>
  </w:style>
  <w:style w:type="character" w:customStyle="1" w:styleId="23">
    <w:name w:val="批注文字 Char"/>
    <w:basedOn w:val="12"/>
    <w:link w:val="4"/>
    <w:qFormat/>
    <w:uiPriority w:val="99"/>
  </w:style>
  <w:style w:type="character" w:customStyle="1" w:styleId="24">
    <w:name w:val="批注主题 Char"/>
    <w:basedOn w:val="23"/>
    <w:link w:val="10"/>
    <w:semiHidden/>
    <w:qFormat/>
    <w:uiPriority w:val="99"/>
    <w:rPr>
      <w:b/>
      <w:bCs/>
    </w:rPr>
  </w:style>
  <w:style w:type="paragraph" w:customStyle="1" w:styleId="25">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8B54BB-1623-48E3-8B6A-2099BB4A77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1528</Words>
  <Characters>1607</Characters>
  <Lines>11</Lines>
  <Paragraphs>3</Paragraphs>
  <TotalTime>9</TotalTime>
  <ScaleCrop>false</ScaleCrop>
  <LinksUpToDate>false</LinksUpToDate>
  <CharactersWithSpaces>1609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2026-09-02T08:44:00Z</dcterms:created>
  <dc:creator>yuanhc</dc:creator>
  <cp:lastModifiedBy>清鹏</cp:lastModifiedBy>
  <cp:lastPrinted>2026-08-20T05:19:00Z</cp:lastPrinted>
  <dcterms:modified xsi:type="dcterms:W3CDTF">2026-09-02T09:53:39Z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eyJoZGlkIjoiNGYyNzE0OTMxZGZkZmYzNGI5YTNhMjEzMWVhNjYwMzUiLCJ1c2VySWQiOiIyNDMxOTI2MjIifQ==</vt:lpwstr>
  </property>
  <property fmtid="{D5CDD505-2E9C-101B-9397-08002B2CF9AE}" pid="3" name="KSOProductBuildVer">
    <vt:lpwstr>2052-12.1.0.28022</vt:lpwstr>
  </property>
  <property fmtid="{D5CDD505-2E9C-101B-9397-08002B2CF9AE}" pid="4" name="ICV">
    <vt:lpwstr>4A7060AA3B854B8986DD633AA4231C8C_12</vt:lpwstr>
  </property>
</Properties>
</file>