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14A09" w14:textId="77777777" w:rsidR="00615D51" w:rsidRDefault="00CD6ADE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华商基金管理有限公司关于</w:t>
      </w:r>
    </w:p>
    <w:p w14:paraId="06ECE884" w14:textId="30E374B5" w:rsidR="00615D51" w:rsidRDefault="00CD6ADE">
      <w:pPr>
        <w:jc w:val="center"/>
        <w:rPr>
          <w:rFonts w:eastAsia="黑体"/>
          <w:b/>
          <w:bCs/>
          <w:sz w:val="52"/>
          <w:szCs w:val="52"/>
        </w:rPr>
      </w:pPr>
      <w:bookmarkStart w:id="0" w:name="_GoBack"/>
      <w:r>
        <w:rPr>
          <w:rFonts w:asciiTheme="minorEastAsia" w:hAnsiTheme="minorEastAsia" w:hint="eastAsia"/>
          <w:b/>
          <w:sz w:val="32"/>
          <w:szCs w:val="32"/>
        </w:rPr>
        <w:t>华商竞争优势混合型证券投资基金</w:t>
      </w:r>
      <w:r>
        <w:rPr>
          <w:rFonts w:asciiTheme="minorEastAsia" w:hAnsiTheme="minorEastAsia" w:hint="eastAsia"/>
          <w:b/>
          <w:sz w:val="32"/>
          <w:szCs w:val="32"/>
        </w:rPr>
        <w:t>延长募集期的公告</w:t>
      </w:r>
      <w:bookmarkEnd w:id="0"/>
    </w:p>
    <w:p w14:paraId="57202F67" w14:textId="77777777" w:rsidR="00615D51" w:rsidRDefault="00615D51">
      <w:pPr>
        <w:autoSpaceDE w:val="0"/>
        <w:autoSpaceDN w:val="0"/>
        <w:adjustRightInd w:val="0"/>
        <w:spacing w:line="360" w:lineRule="auto"/>
        <w:ind w:firstLine="480"/>
        <w:jc w:val="left"/>
        <w:rPr>
          <w:rFonts w:asciiTheme="minorEastAsia" w:hAnsiTheme="minorEastAsia"/>
          <w:sz w:val="24"/>
          <w:szCs w:val="24"/>
        </w:rPr>
      </w:pPr>
    </w:p>
    <w:p w14:paraId="3AAE962A" w14:textId="2DFF6DB1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华商竞争优势混合型证券投资基金</w:t>
      </w:r>
      <w:r>
        <w:rPr>
          <w:rFonts w:asciiTheme="minorEastAsia" w:hAnsiTheme="minorEastAsia" w:hint="eastAsia"/>
          <w:sz w:val="24"/>
          <w:szCs w:val="24"/>
        </w:rPr>
        <w:t>（以下简称“本基金”，</w:t>
      </w:r>
      <w:r w:rsidRPr="00F371D8">
        <w:rPr>
          <w:rFonts w:asciiTheme="minorEastAsia" w:hAnsiTheme="minorEastAsia" w:hint="eastAsia"/>
          <w:sz w:val="24"/>
          <w:szCs w:val="24"/>
        </w:rPr>
        <w:t>基金代码</w:t>
      </w:r>
      <w:r w:rsidRPr="00F371D8">
        <w:rPr>
          <w:rFonts w:asciiTheme="minorEastAsia" w:hAnsiTheme="minorEastAsia"/>
          <w:sz w:val="24"/>
          <w:szCs w:val="24"/>
        </w:rPr>
        <w:t>A</w:t>
      </w:r>
      <w:r w:rsidRPr="00F371D8">
        <w:rPr>
          <w:rFonts w:asciiTheme="minorEastAsia" w:hAnsiTheme="minorEastAsia" w:hint="eastAsia"/>
          <w:sz w:val="24"/>
          <w:szCs w:val="24"/>
        </w:rPr>
        <w:t>类：</w:t>
      </w:r>
      <w:r w:rsidRPr="00CD6ADE">
        <w:rPr>
          <w:rFonts w:ascii="Times New Roman" w:eastAsia="宋体" w:hAnsi="Times New Roman" w:cs="Times New Roman"/>
          <w:bCs/>
          <w:sz w:val="24"/>
          <w:szCs w:val="24"/>
        </w:rPr>
        <w:t>028883</w:t>
      </w:r>
      <w:r w:rsidRPr="001A1D13">
        <w:rPr>
          <w:rFonts w:ascii="Times New Roman" w:eastAsia="宋体" w:hAnsi="Times New Roman" w:cs="Times New Roman" w:hint="eastAsia"/>
          <w:bCs/>
          <w:sz w:val="24"/>
          <w:szCs w:val="24"/>
        </w:rPr>
        <w:t>、</w:t>
      </w:r>
      <w:r w:rsidRPr="00060728">
        <w:rPr>
          <w:rFonts w:ascii="Times New Roman" w:eastAsia="宋体" w:hAnsi="Times New Roman" w:cs="Times New Roman"/>
          <w:bCs/>
          <w:sz w:val="24"/>
          <w:szCs w:val="24"/>
        </w:rPr>
        <w:t>C</w:t>
      </w:r>
      <w:r w:rsidRPr="00060728">
        <w:rPr>
          <w:rFonts w:ascii="Times New Roman" w:eastAsia="宋体" w:hAnsi="Times New Roman" w:cs="Times New Roman" w:hint="eastAsia"/>
          <w:bCs/>
          <w:sz w:val="24"/>
          <w:szCs w:val="24"/>
        </w:rPr>
        <w:t>类：</w:t>
      </w:r>
      <w:r w:rsidRPr="00CD6ADE">
        <w:rPr>
          <w:rFonts w:ascii="Times New Roman" w:eastAsia="宋体" w:hAnsi="Times New Roman" w:cs="Times New Roman"/>
          <w:bCs/>
          <w:sz w:val="24"/>
          <w:szCs w:val="24"/>
        </w:rPr>
        <w:t>028884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>经中国证监会</w:t>
      </w:r>
      <w:r>
        <w:rPr>
          <w:rFonts w:ascii="Times New Roman" w:eastAsia="宋体" w:hAnsi="Times New Roman" w:cs="Times New Roman"/>
          <w:bCs/>
          <w:sz w:val="24"/>
          <w:szCs w:val="24"/>
        </w:rPr>
        <w:t>2026</w:t>
      </w:r>
      <w:r>
        <w:rPr>
          <w:rFonts w:ascii="Times New Roman" w:eastAsia="宋体" w:hAnsi="Times New Roman" w:cs="Times New Roman"/>
          <w:bCs/>
          <w:sz w:val="24"/>
          <w:szCs w:val="24"/>
        </w:rPr>
        <w:t>年</w:t>
      </w:r>
      <w:r>
        <w:rPr>
          <w:rFonts w:ascii="Times New Roman" w:eastAsia="宋体" w:hAnsi="Times New Roman" w:cs="Times New Roman"/>
          <w:bCs/>
          <w:sz w:val="24"/>
          <w:szCs w:val="24"/>
        </w:rPr>
        <w:t>7</w:t>
      </w:r>
      <w:r>
        <w:rPr>
          <w:rFonts w:ascii="Times New Roman" w:eastAsia="宋体" w:hAnsi="Times New Roman" w:cs="Times New Roman"/>
          <w:bCs/>
          <w:sz w:val="24"/>
          <w:szCs w:val="24"/>
        </w:rPr>
        <w:t>月</w:t>
      </w:r>
      <w:r>
        <w:rPr>
          <w:rFonts w:ascii="Times New Roman" w:eastAsia="宋体" w:hAnsi="Times New Roman" w:cs="Times New Roman"/>
          <w:bCs/>
          <w:sz w:val="24"/>
          <w:szCs w:val="24"/>
        </w:rPr>
        <w:t>31</w:t>
      </w:r>
      <w:r>
        <w:rPr>
          <w:rFonts w:ascii="Times New Roman" w:eastAsia="宋体" w:hAnsi="Times New Roman" w:cs="Times New Roman"/>
          <w:bCs/>
          <w:sz w:val="24"/>
          <w:szCs w:val="24"/>
        </w:rPr>
        <w:t>日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证</w:t>
      </w:r>
      <w:r>
        <w:rPr>
          <w:rFonts w:asciiTheme="minorEastAsia" w:hAnsiTheme="minorEastAsia" w:hint="eastAsia"/>
          <w:sz w:val="24"/>
          <w:szCs w:val="24"/>
        </w:rPr>
        <w:t>监许可</w:t>
      </w:r>
      <w:r>
        <w:rPr>
          <w:rFonts w:ascii="Times New Roman" w:eastAsia="宋体" w:hAnsi="Times New Roman" w:cs="Times New Roman"/>
          <w:bCs/>
          <w:sz w:val="24"/>
          <w:szCs w:val="24"/>
        </w:rPr>
        <w:t>[2026]</w:t>
      </w:r>
      <w:r w:rsidRPr="00CD6ADE">
        <w:rPr>
          <w:rFonts w:ascii="Times New Roman" w:eastAsia="宋体" w:hAnsi="Times New Roman" w:cs="Times New Roman"/>
          <w:bCs/>
          <w:sz w:val="24"/>
          <w:szCs w:val="24"/>
        </w:rPr>
        <w:t>1998</w:t>
      </w:r>
      <w:r>
        <w:rPr>
          <w:rFonts w:ascii="Times New Roman" w:eastAsia="宋体" w:hAnsi="Times New Roman" w:cs="Times New Roman"/>
          <w:bCs/>
          <w:sz w:val="24"/>
          <w:szCs w:val="24"/>
        </w:rPr>
        <w:t>号</w:t>
      </w:r>
      <w:r>
        <w:rPr>
          <w:rFonts w:asciiTheme="minorEastAsia" w:hAnsiTheme="minorEastAsia" w:hint="eastAsia"/>
          <w:sz w:val="24"/>
          <w:szCs w:val="24"/>
        </w:rPr>
        <w:t>文准予募集注册，已于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202</w:t>
      </w:r>
      <w:r>
        <w:rPr>
          <w:rFonts w:ascii="Times New Roman" w:eastAsia="宋体" w:hAnsi="Times New Roman" w:cs="Times New Roman"/>
          <w:bCs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年</w:t>
      </w:r>
      <w:r>
        <w:rPr>
          <w:rFonts w:ascii="Times New Roman" w:eastAsia="宋体" w:hAnsi="Times New Roman" w:cs="Times New Roman"/>
          <w:bCs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月</w:t>
      </w:r>
      <w:r>
        <w:rPr>
          <w:rFonts w:ascii="Times New Roman" w:eastAsia="宋体" w:hAnsi="Times New Roman" w:cs="Times New Roman"/>
          <w:bCs/>
          <w:sz w:val="24"/>
          <w:szCs w:val="24"/>
        </w:rPr>
        <w:t>19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开始募集，原定认购截止日为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02</w:t>
      </w:r>
      <w:r>
        <w:rPr>
          <w:rFonts w:ascii="Times New Roman" w:eastAsia="宋体" w:hAnsi="Times New Roman" w:cs="Times New Roman"/>
          <w:bCs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年</w:t>
      </w:r>
      <w:r>
        <w:rPr>
          <w:rFonts w:ascii="Times New Roman" w:eastAsia="宋体" w:hAnsi="Times New Roman" w:cs="Times New Roman"/>
          <w:bCs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月</w:t>
      </w:r>
      <w:r>
        <w:rPr>
          <w:rFonts w:ascii="Times New Roman" w:eastAsia="宋体" w:hAnsi="Times New Roman" w:cs="Times New Roman"/>
          <w:bCs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14:paraId="6D941225" w14:textId="612224E5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为充分满足投资者的投资需求，根据《</w:t>
      </w:r>
      <w:r>
        <w:rPr>
          <w:rFonts w:asciiTheme="minorEastAsia" w:hAnsiTheme="minorEastAsia" w:hint="eastAsia"/>
          <w:sz w:val="24"/>
          <w:szCs w:val="24"/>
        </w:rPr>
        <w:t>证券投资基金法》、《公开募集证券投资基金运作管理办法》以及《华商竞争优势混合型证券投资基金</w:t>
      </w:r>
      <w:r>
        <w:rPr>
          <w:rFonts w:asciiTheme="minorEastAsia" w:hAnsiTheme="minorEastAsia" w:hint="eastAsia"/>
          <w:sz w:val="24"/>
          <w:szCs w:val="24"/>
        </w:rPr>
        <w:t>基金合同》、《华商竞争优势混合型证券投资基金</w:t>
      </w:r>
      <w:r>
        <w:rPr>
          <w:rFonts w:asciiTheme="minorEastAsia" w:hAnsiTheme="minorEastAsia" w:hint="eastAsia"/>
          <w:sz w:val="24"/>
          <w:szCs w:val="24"/>
        </w:rPr>
        <w:t>招募说明书》</w:t>
      </w:r>
      <w:r>
        <w:rPr>
          <w:rFonts w:asciiTheme="minorEastAsia" w:hAnsiTheme="minorEastAsia" w:hint="eastAsia"/>
          <w:sz w:val="24"/>
          <w:szCs w:val="24"/>
        </w:rPr>
        <w:t>等有关规定，经本基金管理人华商基金管理有限公司（以下简称“本公司”）与本基金托管人中国工商银行股份有限公司</w:t>
      </w:r>
      <w:r>
        <w:rPr>
          <w:rFonts w:asciiTheme="minorEastAsia" w:hAnsiTheme="minorEastAsia" w:hint="eastAsia"/>
          <w:sz w:val="24"/>
          <w:szCs w:val="24"/>
        </w:rPr>
        <w:t>协商一致，决定将本基金募集期延长至</w:t>
      </w:r>
      <w:r>
        <w:rPr>
          <w:rFonts w:asciiTheme="minorEastAsia" w:hAnsiTheme="minorEastAsia" w:hint="eastAsia"/>
          <w:sz w:val="24"/>
          <w:szCs w:val="24"/>
        </w:rPr>
        <w:t>20</w:t>
      </w:r>
      <w:r>
        <w:rPr>
          <w:rFonts w:asciiTheme="minorEastAsia" w:hAnsiTheme="minorEastAsia"/>
          <w:sz w:val="24"/>
          <w:szCs w:val="24"/>
        </w:rPr>
        <w:t>26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/>
          <w:sz w:val="24"/>
          <w:szCs w:val="24"/>
        </w:rPr>
        <w:t>11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日。</w:t>
      </w:r>
    </w:p>
    <w:p w14:paraId="424DF343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重要提示：</w:t>
      </w:r>
    </w:p>
    <w:p w14:paraId="3CD67597" w14:textId="75EE48C5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、本基金首次募集规模上限为</w:t>
      </w:r>
      <w:r>
        <w:rPr>
          <w:rFonts w:asciiTheme="minorEastAsia" w:hAnsiTheme="minorEastAsia"/>
          <w:sz w:val="24"/>
          <w:szCs w:val="24"/>
        </w:rPr>
        <w:t>50</w:t>
      </w:r>
      <w:r>
        <w:rPr>
          <w:rFonts w:asciiTheme="minorEastAsia" w:hAnsiTheme="minorEastAsia" w:hint="eastAsia"/>
          <w:sz w:val="24"/>
          <w:szCs w:val="24"/>
        </w:rPr>
        <w:t>亿元人民币（不包括募集期利息，下同）。</w:t>
      </w:r>
    </w:p>
    <w:p w14:paraId="12823F5A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基金管理人根据认购的情况可适当调整募集时间，并及时公告，但最长不超过法定募集期限。</w:t>
      </w:r>
    </w:p>
    <w:p w14:paraId="471ECA62" w14:textId="516A96C4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在募集期内任何一天（含第一天）当日募集截止时间后累计有效认购申请金额（不包括利息，下同）合计超过</w:t>
      </w:r>
      <w:r>
        <w:rPr>
          <w:rFonts w:asciiTheme="minorEastAsia" w:hAnsiTheme="minorEastAsia"/>
          <w:sz w:val="24"/>
          <w:szCs w:val="24"/>
        </w:rPr>
        <w:t>50</w:t>
      </w:r>
      <w:r>
        <w:rPr>
          <w:rFonts w:asciiTheme="minorEastAsia" w:hAnsiTheme="minorEastAsia" w:hint="eastAsia"/>
          <w:sz w:val="24"/>
          <w:szCs w:val="24"/>
        </w:rPr>
        <w:t>亿元人民币，基金管理人将采取末日</w:t>
      </w:r>
      <w:r>
        <w:rPr>
          <w:rFonts w:asciiTheme="minorEastAsia" w:hAnsiTheme="minorEastAsia" w:hint="eastAsia"/>
          <w:sz w:val="24"/>
          <w:szCs w:val="24"/>
        </w:rPr>
        <w:t>比例确认的方式实现规模的有效控制。</w:t>
      </w:r>
    </w:p>
    <w:p w14:paraId="72B3DEB9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当发生末日比例确认时，基金管理人将及时公告比例确认情况与结果。未确认部分的认购款项将在募集期结束后退还给投资者，由此产生的损失由投资者自行承担。</w:t>
      </w:r>
    </w:p>
    <w:p w14:paraId="296569CF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末日认购申请确认比例的计算方法如下：</w:t>
      </w:r>
    </w:p>
    <w:p w14:paraId="530180B9" w14:textId="0126B7F2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末日认购申请确认比例＝（</w:t>
      </w:r>
      <w:r>
        <w:rPr>
          <w:rFonts w:asciiTheme="minorEastAsia" w:hAnsiTheme="minorEastAsia"/>
          <w:sz w:val="24"/>
          <w:szCs w:val="24"/>
        </w:rPr>
        <w:t>50</w:t>
      </w:r>
      <w:r>
        <w:rPr>
          <w:rFonts w:asciiTheme="minorEastAsia" w:hAnsiTheme="minorEastAsia" w:hint="eastAsia"/>
          <w:sz w:val="24"/>
          <w:szCs w:val="24"/>
        </w:rPr>
        <w:t>亿元－末日之前有效认购申请金额）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Theme="minorEastAsia" w:hAnsiTheme="minorEastAsia" w:hint="eastAsia"/>
          <w:sz w:val="24"/>
          <w:szCs w:val="24"/>
        </w:rPr>
        <w:t>末日有效认购申请金额</w:t>
      </w:r>
    </w:p>
    <w:p w14:paraId="2CC1E09D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投资者末日认购申请确认金额</w:t>
      </w:r>
      <w:r>
        <w:rPr>
          <w:rFonts w:asciiTheme="minorEastAsia" w:hAnsiTheme="minorEastAsia" w:hint="eastAsia"/>
          <w:sz w:val="24"/>
          <w:szCs w:val="24"/>
        </w:rPr>
        <w:t>=</w:t>
      </w:r>
      <w:r>
        <w:rPr>
          <w:rFonts w:asciiTheme="minorEastAsia" w:hAnsiTheme="minorEastAsia" w:hint="eastAsia"/>
          <w:sz w:val="24"/>
          <w:szCs w:val="24"/>
        </w:rPr>
        <w:t>末日提交的有效认购申请金额×末日认购申请确认比例</w:t>
      </w:r>
    </w:p>
    <w:p w14:paraId="7A70F578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当发生部分确认时，</w:t>
      </w:r>
      <w:r>
        <w:rPr>
          <w:rFonts w:hint="eastAsia"/>
          <w:bCs/>
          <w:sz w:val="24"/>
        </w:rPr>
        <w:t>当日</w:t>
      </w:r>
      <w:r>
        <w:rPr>
          <w:rFonts w:asciiTheme="minorEastAsia" w:hAnsiTheme="minorEastAsia" w:hint="eastAsia"/>
          <w:sz w:val="24"/>
          <w:szCs w:val="24"/>
        </w:rPr>
        <w:t>投资者认购费率按照认购申请确认金额所对应的费率计算，</w:t>
      </w:r>
      <w:r>
        <w:rPr>
          <w:rFonts w:hint="eastAsia"/>
          <w:bCs/>
          <w:sz w:val="24"/>
        </w:rPr>
        <w:t>当日</w:t>
      </w:r>
      <w:r>
        <w:rPr>
          <w:rFonts w:asciiTheme="minorEastAsia" w:hAnsiTheme="minorEastAsia" w:hint="eastAsia"/>
          <w:sz w:val="24"/>
          <w:szCs w:val="24"/>
        </w:rPr>
        <w:t>投资者认购申请确认金额不受认购最低限额的限制。最终认购申请确认结果以本基金登记机构的计算并确认的结果为准。</w:t>
      </w:r>
    </w:p>
    <w:p w14:paraId="05DEF845" w14:textId="579FC932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2</w:t>
      </w:r>
      <w:r>
        <w:rPr>
          <w:rFonts w:asciiTheme="minorEastAsia" w:hAnsiTheme="minorEastAsia" w:hint="eastAsia"/>
          <w:sz w:val="24"/>
          <w:szCs w:val="24"/>
        </w:rPr>
        <w:t>、投资者欲了解本基金的详细情况，请详细阅读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202</w:t>
      </w:r>
      <w:r>
        <w:rPr>
          <w:rFonts w:ascii="Times New Roman" w:eastAsia="宋体" w:hAnsi="Times New Roman" w:cs="Times New Roman"/>
          <w:bCs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年</w:t>
      </w:r>
      <w:r>
        <w:rPr>
          <w:rFonts w:ascii="Times New Roman" w:eastAsia="宋体" w:hAnsi="Times New Roman" w:cs="Times New Roman"/>
          <w:bCs/>
          <w:sz w:val="24"/>
          <w:szCs w:val="24"/>
        </w:rPr>
        <w:t>9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月</w:t>
      </w:r>
      <w:r>
        <w:rPr>
          <w:rFonts w:ascii="Times New Roman" w:eastAsia="宋体" w:hAnsi="Times New Roman" w:cs="Times New Roman"/>
          <w:bCs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刊登在本公司网站等规定网站上的《华商竞争优势混合型证券投资基金</w:t>
      </w:r>
      <w:r>
        <w:rPr>
          <w:rFonts w:asciiTheme="minorEastAsia" w:hAnsiTheme="minorEastAsia" w:hint="eastAsia"/>
          <w:sz w:val="24"/>
          <w:szCs w:val="24"/>
        </w:rPr>
        <w:t>招募说明书》等法律文件。或登录本公司网站（</w:t>
      </w:r>
      <w:r>
        <w:rPr>
          <w:rFonts w:asciiTheme="minorEastAsia" w:hAnsiTheme="minorEastAsia" w:hint="eastAsia"/>
          <w:sz w:val="24"/>
          <w:szCs w:val="24"/>
        </w:rPr>
        <w:t>www.hsfund.com</w:t>
      </w:r>
      <w:r>
        <w:rPr>
          <w:rFonts w:asciiTheme="minorEastAsia" w:hAnsiTheme="minorEastAsia" w:hint="eastAsia"/>
          <w:sz w:val="24"/>
          <w:szCs w:val="24"/>
        </w:rPr>
        <w:t>）、拨打客户服务电话（</w:t>
      </w:r>
      <w:r>
        <w:rPr>
          <w:rFonts w:asciiTheme="minorEastAsia" w:hAnsiTheme="minorEastAsia" w:hint="eastAsia"/>
          <w:sz w:val="24"/>
          <w:szCs w:val="24"/>
        </w:rPr>
        <w:t>400-700-8880</w:t>
      </w:r>
      <w:r>
        <w:rPr>
          <w:rFonts w:asciiTheme="minorEastAsia" w:hAnsiTheme="minorEastAsia" w:hint="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010-58573300</w:t>
      </w:r>
      <w:r>
        <w:rPr>
          <w:rFonts w:asciiTheme="minorEastAsia" w:hAnsiTheme="minorEastAsia" w:hint="eastAsia"/>
          <w:sz w:val="24"/>
          <w:szCs w:val="24"/>
        </w:rPr>
        <w:t>）咨询相关事宜。</w:t>
      </w:r>
    </w:p>
    <w:p w14:paraId="3AE80F85" w14:textId="77777777" w:rsidR="00615D51" w:rsidRDefault="00615D51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</w:p>
    <w:p w14:paraId="54AEECF7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风险提示：</w:t>
      </w:r>
    </w:p>
    <w:p w14:paraId="21B4DF8E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基金管理人承诺以诚实信用、勤勉尽责的原则管理和运用基金资产，但不保证基金一定盈利，也不保证最低收益。投资</w:t>
      </w:r>
      <w:r>
        <w:rPr>
          <w:rFonts w:asciiTheme="minorEastAsia" w:hAnsiTheme="minorEastAsia" w:hint="eastAsia"/>
          <w:sz w:val="24"/>
          <w:szCs w:val="24"/>
        </w:rPr>
        <w:t>者投资于本基金前应认真阅读本基金的基金合同、招募说明书、基金产品资料概要等法律文件。敬请投资者注意投资风险。</w:t>
      </w:r>
    </w:p>
    <w:p w14:paraId="76C3AC62" w14:textId="3320EC9A" w:rsidR="00615D51" w:rsidRDefault="00CD6ADE">
      <w:pPr>
        <w:autoSpaceDE w:val="0"/>
        <w:autoSpaceDN w:val="0"/>
        <w:adjustRightInd w:val="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 w:rsidRPr="00CD6ADE">
        <w:rPr>
          <w:rFonts w:asciiTheme="minorEastAsia" w:hAnsiTheme="minorEastAsia" w:hint="eastAsia"/>
          <w:sz w:val="24"/>
          <w:szCs w:val="24"/>
        </w:rPr>
        <w:t>本基金为混合型基金，其预期收益和风险高于货币市场基金和债券型基金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14:paraId="65828C18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特此公告。</w:t>
      </w:r>
    </w:p>
    <w:p w14:paraId="55F4FF6D" w14:textId="77777777" w:rsidR="00615D51" w:rsidRDefault="00615D5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/>
          <w:sz w:val="24"/>
          <w:szCs w:val="24"/>
        </w:rPr>
      </w:pPr>
    </w:p>
    <w:p w14:paraId="1311C0CF" w14:textId="77777777" w:rsidR="00615D51" w:rsidRDefault="00CD6ADE">
      <w:pPr>
        <w:autoSpaceDE w:val="0"/>
        <w:autoSpaceDN w:val="0"/>
        <w:adjustRightInd w:val="0"/>
        <w:spacing w:line="360" w:lineRule="auto"/>
        <w:ind w:firstLine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华商基金管理有限公司</w:t>
      </w:r>
    </w:p>
    <w:p w14:paraId="6B39640E" w14:textId="2505D76A" w:rsidR="00615D51" w:rsidRDefault="00CD6ADE">
      <w:pPr>
        <w:autoSpaceDE w:val="0"/>
        <w:autoSpaceDN w:val="0"/>
        <w:adjustRightInd w:val="0"/>
        <w:spacing w:line="360" w:lineRule="auto"/>
        <w:ind w:right="480" w:firstLine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="Times New Roman" w:eastAsia="宋体" w:hAnsi="Times New Roman" w:cs="Times New Roman" w:hint="eastAsia"/>
          <w:bCs/>
          <w:sz w:val="24"/>
          <w:szCs w:val="24"/>
        </w:rPr>
        <w:t>202</w:t>
      </w:r>
      <w:r>
        <w:rPr>
          <w:rFonts w:ascii="Times New Roman" w:eastAsia="宋体" w:hAnsi="Times New Roman" w:cs="Times New Roman"/>
          <w:bCs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年</w:t>
      </w:r>
      <w:r>
        <w:rPr>
          <w:rFonts w:ascii="Times New Roman" w:eastAsia="宋体" w:hAnsi="Times New Roman" w:cs="Times New Roman"/>
          <w:bCs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月</w:t>
      </w:r>
      <w:r>
        <w:rPr>
          <w:rFonts w:ascii="Times New Roman" w:eastAsia="宋体" w:hAnsi="Times New Roman" w:cs="Times New Roman"/>
          <w:bCs/>
          <w:sz w:val="24"/>
          <w:szCs w:val="24"/>
        </w:rPr>
        <w:t>28</w:t>
      </w:r>
      <w:r>
        <w:rPr>
          <w:rFonts w:ascii="Times New Roman" w:eastAsia="宋体" w:hAnsi="Times New Roman" w:cs="Times New Roman" w:hint="eastAsia"/>
          <w:bCs/>
          <w:sz w:val="24"/>
          <w:szCs w:val="24"/>
        </w:rPr>
        <w:t>日</w:t>
      </w:r>
    </w:p>
    <w:p w14:paraId="726B971F" w14:textId="77777777" w:rsidR="00615D51" w:rsidRDefault="00615D51">
      <w:pPr>
        <w:rPr>
          <w:rFonts w:asciiTheme="minorEastAsia" w:hAnsiTheme="minorEastAsia"/>
          <w:sz w:val="24"/>
          <w:szCs w:val="24"/>
        </w:rPr>
      </w:pPr>
    </w:p>
    <w:sectPr w:rsidR="00615D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01"/>
    <w:rsid w:val="00005DC2"/>
    <w:rsid w:val="00030E2D"/>
    <w:rsid w:val="00033E77"/>
    <w:rsid w:val="00040D92"/>
    <w:rsid w:val="00060728"/>
    <w:rsid w:val="0009735B"/>
    <w:rsid w:val="000C37AF"/>
    <w:rsid w:val="000F26C4"/>
    <w:rsid w:val="00132923"/>
    <w:rsid w:val="001430C9"/>
    <w:rsid w:val="001708AD"/>
    <w:rsid w:val="001758AC"/>
    <w:rsid w:val="001A1D13"/>
    <w:rsid w:val="001A6C8F"/>
    <w:rsid w:val="001B11B5"/>
    <w:rsid w:val="001E25FC"/>
    <w:rsid w:val="001E7E08"/>
    <w:rsid w:val="0021329F"/>
    <w:rsid w:val="00221973"/>
    <w:rsid w:val="00253305"/>
    <w:rsid w:val="00270DDA"/>
    <w:rsid w:val="00292844"/>
    <w:rsid w:val="00297C06"/>
    <w:rsid w:val="00313ACC"/>
    <w:rsid w:val="00331E3B"/>
    <w:rsid w:val="00332508"/>
    <w:rsid w:val="00351648"/>
    <w:rsid w:val="003530AC"/>
    <w:rsid w:val="00363DE8"/>
    <w:rsid w:val="00391E5E"/>
    <w:rsid w:val="00393C03"/>
    <w:rsid w:val="003A14AE"/>
    <w:rsid w:val="003D0D8E"/>
    <w:rsid w:val="003E5CC0"/>
    <w:rsid w:val="003E7130"/>
    <w:rsid w:val="003F0B1E"/>
    <w:rsid w:val="003F16ED"/>
    <w:rsid w:val="00405F12"/>
    <w:rsid w:val="004125AF"/>
    <w:rsid w:val="0041644C"/>
    <w:rsid w:val="004166C3"/>
    <w:rsid w:val="004244FE"/>
    <w:rsid w:val="00427B4C"/>
    <w:rsid w:val="00435E59"/>
    <w:rsid w:val="00436264"/>
    <w:rsid w:val="00462FE8"/>
    <w:rsid w:val="00481FEF"/>
    <w:rsid w:val="004A25EB"/>
    <w:rsid w:val="004A380A"/>
    <w:rsid w:val="004A7129"/>
    <w:rsid w:val="004B3245"/>
    <w:rsid w:val="004C0F58"/>
    <w:rsid w:val="004C1DAA"/>
    <w:rsid w:val="004E0E07"/>
    <w:rsid w:val="005046A8"/>
    <w:rsid w:val="00537DE3"/>
    <w:rsid w:val="0054019E"/>
    <w:rsid w:val="00580CF1"/>
    <w:rsid w:val="005A2557"/>
    <w:rsid w:val="005E489D"/>
    <w:rsid w:val="00615D51"/>
    <w:rsid w:val="00632113"/>
    <w:rsid w:val="006349FE"/>
    <w:rsid w:val="006C038A"/>
    <w:rsid w:val="006D38A3"/>
    <w:rsid w:val="006E2705"/>
    <w:rsid w:val="006E4902"/>
    <w:rsid w:val="006E64E6"/>
    <w:rsid w:val="007121FB"/>
    <w:rsid w:val="00734E73"/>
    <w:rsid w:val="00767724"/>
    <w:rsid w:val="0079489D"/>
    <w:rsid w:val="00795E9E"/>
    <w:rsid w:val="007A3F66"/>
    <w:rsid w:val="007C3874"/>
    <w:rsid w:val="007D763A"/>
    <w:rsid w:val="007E2EFD"/>
    <w:rsid w:val="00801001"/>
    <w:rsid w:val="00803FC1"/>
    <w:rsid w:val="00812E87"/>
    <w:rsid w:val="00821458"/>
    <w:rsid w:val="00834868"/>
    <w:rsid w:val="00847CD7"/>
    <w:rsid w:val="008707D0"/>
    <w:rsid w:val="00871F55"/>
    <w:rsid w:val="008B69FE"/>
    <w:rsid w:val="00906301"/>
    <w:rsid w:val="0092248B"/>
    <w:rsid w:val="00923803"/>
    <w:rsid w:val="009309A3"/>
    <w:rsid w:val="0096615A"/>
    <w:rsid w:val="009A1701"/>
    <w:rsid w:val="009E4021"/>
    <w:rsid w:val="009F10A2"/>
    <w:rsid w:val="00A26CB3"/>
    <w:rsid w:val="00A31411"/>
    <w:rsid w:val="00A379C3"/>
    <w:rsid w:val="00A42BB4"/>
    <w:rsid w:val="00A559CD"/>
    <w:rsid w:val="00A56BE5"/>
    <w:rsid w:val="00A612CA"/>
    <w:rsid w:val="00A7182D"/>
    <w:rsid w:val="00A841C4"/>
    <w:rsid w:val="00AA51BA"/>
    <w:rsid w:val="00AB2C65"/>
    <w:rsid w:val="00AE06C1"/>
    <w:rsid w:val="00AE69DE"/>
    <w:rsid w:val="00B05F98"/>
    <w:rsid w:val="00B10785"/>
    <w:rsid w:val="00B110C8"/>
    <w:rsid w:val="00B1522D"/>
    <w:rsid w:val="00B1579A"/>
    <w:rsid w:val="00B16084"/>
    <w:rsid w:val="00B24E0E"/>
    <w:rsid w:val="00B66B50"/>
    <w:rsid w:val="00B71B81"/>
    <w:rsid w:val="00B80FC6"/>
    <w:rsid w:val="00B973C5"/>
    <w:rsid w:val="00BA3967"/>
    <w:rsid w:val="00BC796C"/>
    <w:rsid w:val="00BD3D93"/>
    <w:rsid w:val="00BD6357"/>
    <w:rsid w:val="00C04119"/>
    <w:rsid w:val="00C20E3B"/>
    <w:rsid w:val="00C32BF5"/>
    <w:rsid w:val="00C46509"/>
    <w:rsid w:val="00C8451B"/>
    <w:rsid w:val="00C87CFD"/>
    <w:rsid w:val="00C9708C"/>
    <w:rsid w:val="00CA261B"/>
    <w:rsid w:val="00CA5D27"/>
    <w:rsid w:val="00CB5DBC"/>
    <w:rsid w:val="00CB66A5"/>
    <w:rsid w:val="00CC1ECA"/>
    <w:rsid w:val="00CC7FB8"/>
    <w:rsid w:val="00CD6ADE"/>
    <w:rsid w:val="00CF036D"/>
    <w:rsid w:val="00CF2594"/>
    <w:rsid w:val="00CF37DB"/>
    <w:rsid w:val="00CF4C56"/>
    <w:rsid w:val="00D02FD8"/>
    <w:rsid w:val="00D1327A"/>
    <w:rsid w:val="00D17E0D"/>
    <w:rsid w:val="00D21F1E"/>
    <w:rsid w:val="00D47DDE"/>
    <w:rsid w:val="00D96F04"/>
    <w:rsid w:val="00DC5E21"/>
    <w:rsid w:val="00DD4A44"/>
    <w:rsid w:val="00DE0BD9"/>
    <w:rsid w:val="00DF4C03"/>
    <w:rsid w:val="00E029E0"/>
    <w:rsid w:val="00E2149C"/>
    <w:rsid w:val="00E44231"/>
    <w:rsid w:val="00E45496"/>
    <w:rsid w:val="00E541A1"/>
    <w:rsid w:val="00E9512A"/>
    <w:rsid w:val="00E96530"/>
    <w:rsid w:val="00EA628C"/>
    <w:rsid w:val="00EC1054"/>
    <w:rsid w:val="00ED76B5"/>
    <w:rsid w:val="00ED7F0D"/>
    <w:rsid w:val="00EE3345"/>
    <w:rsid w:val="00EE3A49"/>
    <w:rsid w:val="00F051FD"/>
    <w:rsid w:val="00F26429"/>
    <w:rsid w:val="00F3307A"/>
    <w:rsid w:val="00F371D8"/>
    <w:rsid w:val="00F51477"/>
    <w:rsid w:val="00F55CC6"/>
    <w:rsid w:val="00F60750"/>
    <w:rsid w:val="00F63103"/>
    <w:rsid w:val="00F6688E"/>
    <w:rsid w:val="00F74836"/>
    <w:rsid w:val="00FA12EC"/>
    <w:rsid w:val="00FA6442"/>
    <w:rsid w:val="00FF5078"/>
    <w:rsid w:val="03A1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8720"/>
  <w15:docId w15:val="{D09823A7-A59A-4E2D-A325-44632254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931</Characters>
  <Application>Microsoft Office Word</Application>
  <DocSecurity>0</DocSecurity>
  <Lines>7</Lines>
  <Paragraphs>2</Paragraphs>
  <ScaleCrop>false</ScaleCrop>
  <Company>P R C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zongp</dc:creator>
  <cp:lastModifiedBy>薛秀桔</cp:lastModifiedBy>
  <cp:revision>2</cp:revision>
  <cp:lastPrinted>2022-02-11T05:58:00Z</cp:lastPrinted>
  <dcterms:created xsi:type="dcterms:W3CDTF">2026-10-26T09:30:00Z</dcterms:created>
  <dcterms:modified xsi:type="dcterms:W3CDTF">2026-10-26T09:30:00Z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eyJoZGlkIjoiNGYyNzE0OTMxZGZkZmYzNGI5YTNhMjEzMWVhNjYwMzUiLCJ1c2VySWQiOiIyNDMxOTI2MjIifQ==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B8E09E560EDF4A86BFCCE3EA26A9BBDA_12</vt:lpwstr>
  </property>
</Properties>
</file>